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版本号：ZHZB-2025-05020250625001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西安事变旧址消防工程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ZHZB-2025-050</w:t>
      </w:r>
      <w:r>
        <w:br/>
      </w:r>
      <w:r>
        <w:br/>
      </w:r>
      <w:r>
        <w:br/>
      </w:r>
    </w:p>
    <w:p>
      <w:pPr>
        <w:pStyle w:val="null3"/>
        <w:jc w:val="center"/>
        <w:outlineLvl w:val="2"/>
      </w:pPr>
      <w:r>
        <w:rPr>
          <w:rFonts w:ascii="仿宋_GB2312" w:hAnsi="仿宋_GB2312" w:cs="仿宋_GB2312" w:eastAsia="仿宋_GB2312"/>
          <w:sz w:val="28"/>
          <w:b/>
        </w:rPr>
        <w:t>西安事变纪念馆</w:t>
      </w:r>
    </w:p>
    <w:p>
      <w:pPr>
        <w:pStyle w:val="null3"/>
        <w:jc w:val="center"/>
        <w:outlineLvl w:val="2"/>
      </w:pPr>
      <w:r>
        <w:rPr>
          <w:rFonts w:ascii="仿宋_GB2312" w:hAnsi="仿宋_GB2312" w:cs="仿宋_GB2312" w:eastAsia="仿宋_GB2312"/>
          <w:sz w:val="28"/>
          <w:b/>
        </w:rPr>
        <w:t>众合国际项目管理有限公司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众合国际项目管理有限公司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西安事变纪念馆</w:t>
      </w:r>
      <w:r>
        <w:rPr>
          <w:rFonts w:ascii="仿宋_GB2312" w:hAnsi="仿宋_GB2312" w:cs="仿宋_GB2312" w:eastAsia="仿宋_GB2312"/>
        </w:rPr>
        <w:t>委托，拟对</w:t>
      </w:r>
      <w:r>
        <w:rPr>
          <w:rFonts w:ascii="仿宋_GB2312" w:hAnsi="仿宋_GB2312" w:cs="仿宋_GB2312" w:eastAsia="仿宋_GB2312"/>
        </w:rPr>
        <w:t>西安事变旧址消防工程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ZHZB-2025-050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西安事变旧址消防工程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本项目为西安事变旧址消防工程，以《中华人民共和国文物保护法》为依据，按照国家规范的有关要求，对西安事变旧址进行消防升级改造，保证西安事变旧址的消防安全，提高其防火、灭火能力。</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采购包1（西安事变旧址消防工程）：属于专门面向中小企业采购。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及拟派项目负责人资质和专业要求：（1）供应商应具备建设行政主管部门颁发合法有效的消防设施工程专业承包一级资质证书和有效的安全生产许可证；（2）供应商拟派项目经理须具备合法有效的机电工程专业二级及以上注册建造师执业资格和有效的安全生产考核合格证书（B证）且在本单位注册，未担任其他在建工程项目的项目经理，且无不良记录（提供承诺书）；（3）供应商未被“信用中国”网站列入失信被执行人、重大税收违法失信主体名单，未被“中国政府采购网”网站列入政府采购严重违法失信行为记录名单；（4）供应商基本信息及项目经理的基本信息在“陕西省住房和城乡建设厅(http://js.shaanxi.gov.cn/)”或“全国建筑市场监管公共服务平台(https://jzsc.mohurd.gov.cn/)”可查询；（5）单位负责人为同一人或者存在直接控股、管理关系的不同供应商，不得参加同一合同项下的采购活动；（6）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西安事变纪念馆</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西安市建国路69号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029-87421001转712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众合国际项目管理有限公司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陕西省西安市莲湖区丰登南路3号1幢306室（丰庆公园北门往西200米PM中心三楼）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唐昊、王臻、王阿磊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15686470916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采购包1：2,814,000.00元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发展计划委员会计价格[2002]1980号文件及国家发展和改革委员会办公厅颁发的《关于降低部分建设项目收费标准规范收费行为等有关问题的通知》（发改价格[2011]534号）的规定工程类标准收取。代理服务费缴纳账户信息： 银行户名：众合国际项目管理有限公司 开户银行：西安银行股份有限公司高新四路支行 账 号：6110 1158 0000 0858 34</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西安事变纪念馆</w:t>
      </w:r>
      <w:r>
        <w:rPr>
          <w:rFonts w:ascii="仿宋_GB2312" w:hAnsi="仿宋_GB2312" w:cs="仿宋_GB2312" w:eastAsia="仿宋_GB2312"/>
        </w:rPr>
        <w:t>和</w:t>
      </w:r>
      <w:r>
        <w:rPr>
          <w:rFonts w:ascii="仿宋_GB2312" w:hAnsi="仿宋_GB2312" w:cs="仿宋_GB2312" w:eastAsia="仿宋_GB2312"/>
        </w:rPr>
        <w:t>众合国际项目管理有限公司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西安事变纪念馆</w:t>
      </w:r>
      <w:r>
        <w:rPr>
          <w:rFonts w:ascii="仿宋_GB2312" w:hAnsi="仿宋_GB2312" w:cs="仿宋_GB2312" w:eastAsia="仿宋_GB2312"/>
        </w:rPr>
        <w:t>负责解释。除上述磋商文件内容，其他内容由</w:t>
      </w:r>
      <w:r>
        <w:rPr>
          <w:rFonts w:ascii="仿宋_GB2312" w:hAnsi="仿宋_GB2312" w:cs="仿宋_GB2312" w:eastAsia="仿宋_GB2312"/>
        </w:rPr>
        <w:t>众合国际项目管理有限公司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西安事变纪念馆</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众合国际项目管理有限公司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（1）符合国家及行业质量验收“合格”标准； （2）符合《安全生产管理条例》的标准；符合工程相关规范要求； （3）工程验收标准：双方约定，在符合采购文件及合同中关于本工程施工要求的前提下，以采购人现场验收合格为准。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众合国际项目管理有限公司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众合国际项目管理有限公司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众合国际项目管理有限公司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联系人：唐昊、王臻、王阿磊</w:t>
      </w:r>
    </w:p>
    <w:p>
      <w:pPr>
        <w:pStyle w:val="null3"/>
      </w:pPr>
      <w:r>
        <w:rPr>
          <w:rFonts w:ascii="仿宋_GB2312" w:hAnsi="仿宋_GB2312" w:cs="仿宋_GB2312" w:eastAsia="仿宋_GB2312"/>
        </w:rPr>
        <w:t>联系电话：15686470916</w:t>
      </w:r>
    </w:p>
    <w:p>
      <w:pPr>
        <w:pStyle w:val="null3"/>
      </w:pPr>
      <w:r>
        <w:rPr>
          <w:rFonts w:ascii="仿宋_GB2312" w:hAnsi="仿宋_GB2312" w:cs="仿宋_GB2312" w:eastAsia="仿宋_GB2312"/>
        </w:rPr>
        <w:t>地址：陕西省西安市莲湖区丰登南路3号1幢306室（丰庆公园北门往西200米PM中心三楼）</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2,814,000.00</w:t>
      </w:r>
    </w:p>
    <w:p>
      <w:pPr>
        <w:pStyle w:val="null3"/>
      </w:pPr>
      <w:r>
        <w:rPr>
          <w:rFonts w:ascii="仿宋_GB2312" w:hAnsi="仿宋_GB2312" w:cs="仿宋_GB2312" w:eastAsia="仿宋_GB2312"/>
        </w:rPr>
        <w:t>采购包最高限价（元）: 2,814,000.00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西安事变旧址消防工程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2,814,000.00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标的名称：西安事变旧址消防工程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一、项目概况</w:t>
            </w:r>
          </w:p>
          <w:p>
            <w:pPr>
              <w:pStyle w:val="null3"/>
              <w:ind w:firstLine="420"/>
              <w:jc w:val="both"/>
            </w:pPr>
            <w:r>
              <w:rPr>
                <w:rFonts w:ascii="仿宋_GB2312" w:hAnsi="仿宋_GB2312" w:cs="仿宋_GB2312" w:eastAsia="仿宋_GB2312"/>
                <w:sz w:val="21"/>
              </w:rPr>
              <w:t>本项目为</w:t>
            </w:r>
            <w:r>
              <w:rPr>
                <w:rFonts w:ascii="仿宋_GB2312" w:hAnsi="仿宋_GB2312" w:cs="仿宋_GB2312" w:eastAsia="仿宋_GB2312"/>
                <w:sz w:val="21"/>
              </w:rPr>
              <w:t>西安事变旧址消防工程</w:t>
            </w:r>
            <w:r>
              <w:rPr>
                <w:rFonts w:ascii="仿宋_GB2312" w:hAnsi="仿宋_GB2312" w:cs="仿宋_GB2312" w:eastAsia="仿宋_GB2312"/>
                <w:sz w:val="21"/>
              </w:rPr>
              <w:t>，以《中华人民共和国文物保护法》为依据，按照国家规范的有关要求，对西安事变旧址进行消防升级改造，保证西安事变旧址的消防安全，提高其防火、灭火能力。本项目所属行业：建筑业（营业收入</w:t>
            </w:r>
            <w:r>
              <w:rPr>
                <w:rFonts w:ascii="仿宋_GB2312" w:hAnsi="仿宋_GB2312" w:cs="仿宋_GB2312" w:eastAsia="仿宋_GB2312"/>
                <w:sz w:val="21"/>
              </w:rPr>
              <w:t>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二、工程内容和施工地点、计划工期、缺陷责任期、质量保修期</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工程内</w:t>
            </w:r>
            <w:r>
              <w:rPr>
                <w:rFonts w:ascii="仿宋_GB2312" w:hAnsi="仿宋_GB2312" w:cs="仿宋_GB2312" w:eastAsia="仿宋_GB2312"/>
                <w:sz w:val="21"/>
              </w:rPr>
              <w:t>容：本工程包括张学良公馆及杨虎城止园别墅两处室内消防设施安装工程、室外消防管网工程、电气线路改造工程</w:t>
            </w:r>
            <w:r>
              <w:rPr>
                <w:rFonts w:ascii="仿宋_GB2312" w:hAnsi="仿宋_GB2312" w:cs="仿宋_GB2312" w:eastAsia="仿宋_GB2312"/>
                <w:sz w:val="21"/>
              </w:rPr>
              <w:t>；</w:t>
            </w:r>
            <w:r>
              <w:rPr>
                <w:rFonts w:ascii="仿宋_GB2312" w:hAnsi="仿宋_GB2312" w:cs="仿宋_GB2312" w:eastAsia="仿宋_GB2312"/>
                <w:sz w:val="21"/>
              </w:rPr>
              <w:t>主要改造内容包括</w:t>
            </w:r>
            <w:r>
              <w:rPr>
                <w:rFonts w:ascii="仿宋_GB2312" w:hAnsi="仿宋_GB2312" w:cs="仿宋_GB2312" w:eastAsia="仿宋_GB2312"/>
                <w:sz w:val="21"/>
              </w:rPr>
              <w:t>1、电气火灾监控系统；2、电气线路改造；3、消防电源监控系统；4、火灾自动报警系统；5、火灾应急广播系统；6、消防电话系统；7、消火栓系统；8、灭火器；9、疏散指示标志、应急照明及安全出口系统等。</w:t>
            </w:r>
            <w:r>
              <w:rPr>
                <w:rFonts w:ascii="仿宋_GB2312" w:hAnsi="仿宋_GB2312" w:cs="仿宋_GB2312" w:eastAsia="仿宋_GB2312"/>
                <w:sz w:val="21"/>
              </w:rPr>
              <w:t>（具体详见工程量清单）</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工程地点：陕西省西安市</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计划工期：自合同签订之日起</w:t>
            </w:r>
            <w:r>
              <w:rPr>
                <w:rFonts w:ascii="仿宋_GB2312" w:hAnsi="仿宋_GB2312" w:cs="仿宋_GB2312" w:eastAsia="仿宋_GB2312"/>
                <w:sz w:val="21"/>
              </w:rPr>
              <w:t>120</w:t>
            </w:r>
            <w:r>
              <w:rPr>
                <w:rFonts w:ascii="仿宋_GB2312" w:hAnsi="仿宋_GB2312" w:cs="仿宋_GB2312" w:eastAsia="仿宋_GB2312"/>
                <w:sz w:val="21"/>
              </w:rPr>
              <w:t>个日历日</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缺陷责任期：</w:t>
            </w:r>
            <w:r>
              <w:rPr>
                <w:rFonts w:ascii="仿宋_GB2312" w:hAnsi="仿宋_GB2312" w:cs="仿宋_GB2312" w:eastAsia="仿宋_GB2312"/>
                <w:sz w:val="21"/>
              </w:rPr>
              <w:t>12</w:t>
            </w:r>
            <w:r>
              <w:rPr>
                <w:rFonts w:ascii="仿宋_GB2312" w:hAnsi="仿宋_GB2312" w:cs="仿宋_GB2312" w:eastAsia="仿宋_GB2312"/>
                <w:sz w:val="21"/>
              </w:rPr>
              <w:t>个月</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质量保修期：</w:t>
            </w:r>
            <w:r>
              <w:rPr>
                <w:rFonts w:ascii="仿宋_GB2312" w:hAnsi="仿宋_GB2312" w:cs="仿宋_GB2312" w:eastAsia="仿宋_GB2312"/>
                <w:sz w:val="21"/>
              </w:rPr>
              <w:t>3</w:t>
            </w:r>
            <w:r>
              <w:rPr>
                <w:rFonts w:ascii="仿宋_GB2312" w:hAnsi="仿宋_GB2312" w:cs="仿宋_GB2312" w:eastAsia="仿宋_GB2312"/>
                <w:sz w:val="21"/>
              </w:rPr>
              <w:t>年</w:t>
            </w:r>
          </w:p>
          <w:p>
            <w:pPr>
              <w:pStyle w:val="null3"/>
              <w:ind w:firstLine="420"/>
              <w:jc w:val="both"/>
            </w:pPr>
            <w:r>
              <w:rPr>
                <w:rFonts w:ascii="仿宋_GB2312" w:hAnsi="仿宋_GB2312" w:cs="仿宋_GB2312" w:eastAsia="仿宋_GB2312"/>
                <w:sz w:val="21"/>
              </w:rPr>
              <w:t>6.质量要求：合格</w:t>
            </w:r>
          </w:p>
          <w:p>
            <w:pPr>
              <w:pStyle w:val="null3"/>
              <w:jc w:val="both"/>
            </w:pPr>
            <w:r>
              <w:rPr>
                <w:rFonts w:ascii="仿宋_GB2312" w:hAnsi="仿宋_GB2312" w:cs="仿宋_GB2312" w:eastAsia="仿宋_GB2312"/>
                <w:sz w:val="21"/>
              </w:rPr>
              <w:t>三、工程量清单和计价依据</w:t>
            </w:r>
          </w:p>
          <w:p>
            <w:pPr>
              <w:pStyle w:val="null3"/>
              <w:ind w:firstLine="420"/>
              <w:jc w:val="both"/>
            </w:pPr>
            <w:r>
              <w:rPr>
                <w:rFonts w:ascii="仿宋_GB2312" w:hAnsi="仿宋_GB2312" w:cs="仿宋_GB2312" w:eastAsia="仿宋_GB2312"/>
                <w:sz w:val="21"/>
              </w:rPr>
              <w:t>1、已批复的设计方案及施工图纸；</w:t>
            </w:r>
          </w:p>
          <w:p>
            <w:pPr>
              <w:pStyle w:val="null3"/>
              <w:ind w:firstLine="420"/>
              <w:jc w:val="both"/>
            </w:pPr>
            <w:r>
              <w:rPr>
                <w:rFonts w:ascii="仿宋_GB2312" w:hAnsi="仿宋_GB2312" w:cs="仿宋_GB2312" w:eastAsia="仿宋_GB2312"/>
                <w:sz w:val="21"/>
              </w:rPr>
              <w:t>2、《陕西省建设工程工程量清单计价规则》（2009）；</w:t>
            </w:r>
          </w:p>
          <w:p>
            <w:pPr>
              <w:pStyle w:val="null3"/>
              <w:ind w:firstLine="420"/>
              <w:jc w:val="both"/>
            </w:pPr>
            <w:r>
              <w:rPr>
                <w:rFonts w:ascii="仿宋_GB2312" w:hAnsi="仿宋_GB2312" w:cs="仿宋_GB2312" w:eastAsia="仿宋_GB2312"/>
                <w:sz w:val="21"/>
              </w:rPr>
              <w:t>3、《陕西省建筑、装饰、安装工程消耗量定额》（2009）、《陕西省建设工程工程量清单计价费率》（2009）及其配套文件中的计价依据和办法；</w:t>
            </w:r>
          </w:p>
          <w:p>
            <w:pPr>
              <w:pStyle w:val="null3"/>
              <w:ind w:firstLine="420"/>
              <w:jc w:val="both"/>
            </w:pPr>
            <w:r>
              <w:rPr>
                <w:rFonts w:ascii="仿宋_GB2312" w:hAnsi="仿宋_GB2312" w:cs="仿宋_GB2312" w:eastAsia="仿宋_GB2312"/>
                <w:sz w:val="21"/>
              </w:rPr>
              <w:t>4、《陕西省住房和城乡建设厅关于印发2009陕西省建设工程工程量清单计价依据的通知》（陕建发[2009]199号）；</w:t>
            </w:r>
          </w:p>
          <w:p>
            <w:pPr>
              <w:pStyle w:val="null3"/>
              <w:ind w:firstLine="420"/>
              <w:jc w:val="both"/>
            </w:pPr>
            <w:r>
              <w:rPr>
                <w:rFonts w:ascii="仿宋_GB2312" w:hAnsi="仿宋_GB2312" w:cs="仿宋_GB2312" w:eastAsia="仿宋_GB2312"/>
                <w:sz w:val="21"/>
              </w:rPr>
              <w:t>5、《关于增加建设工程扬尘治理专项措施费及综合人工单价调整的通知》（陕建发[2017]270号）；</w:t>
            </w:r>
          </w:p>
          <w:p>
            <w:pPr>
              <w:pStyle w:val="null3"/>
              <w:ind w:firstLine="420"/>
              <w:jc w:val="both"/>
            </w:pPr>
            <w:r>
              <w:rPr>
                <w:rFonts w:ascii="仿宋_GB2312" w:hAnsi="仿宋_GB2312" w:cs="仿宋_GB2312" w:eastAsia="仿宋_GB2312"/>
                <w:sz w:val="21"/>
              </w:rPr>
              <w:t>6、《关于调整房屋建筑和市政基础设施工程工程量清单计价综合人工单价的通知》（陕建发[2021]1097号）；</w:t>
            </w:r>
          </w:p>
          <w:p>
            <w:pPr>
              <w:pStyle w:val="null3"/>
              <w:ind w:firstLine="420"/>
              <w:jc w:val="both"/>
            </w:pPr>
            <w:r>
              <w:rPr>
                <w:rFonts w:ascii="仿宋_GB2312" w:hAnsi="仿宋_GB2312" w:cs="仿宋_GB2312" w:eastAsia="仿宋_GB2312"/>
                <w:sz w:val="21"/>
              </w:rPr>
              <w:t>7、《关于调整我省建设工程计价依据的通知》（陕建发[2019]45号文）；</w:t>
            </w:r>
          </w:p>
          <w:p>
            <w:pPr>
              <w:pStyle w:val="null3"/>
              <w:ind w:firstLine="420"/>
              <w:jc w:val="both"/>
            </w:pPr>
            <w:r>
              <w:rPr>
                <w:rFonts w:ascii="仿宋_GB2312" w:hAnsi="仿宋_GB2312" w:cs="仿宋_GB2312" w:eastAsia="仿宋_GB2312"/>
                <w:sz w:val="21"/>
              </w:rPr>
              <w:t>8、《关于发布我省落实建筑工人实名制管理计价依据的通知》（陕建发[2019]1246号）；</w:t>
            </w:r>
          </w:p>
          <w:p>
            <w:pPr>
              <w:pStyle w:val="null3"/>
              <w:ind w:firstLine="420"/>
              <w:jc w:val="both"/>
            </w:pPr>
            <w:r>
              <w:rPr>
                <w:rFonts w:ascii="仿宋_GB2312" w:hAnsi="仿宋_GB2312" w:cs="仿宋_GB2312" w:eastAsia="仿宋_GB2312"/>
                <w:sz w:val="21"/>
              </w:rPr>
              <w:t>9、《关于建筑施工安全生产责任保险费用计价的通知》（陕建发〔2020〕1097号）；</w:t>
            </w:r>
          </w:p>
          <w:p>
            <w:pPr>
              <w:pStyle w:val="null3"/>
              <w:ind w:firstLine="420"/>
              <w:jc w:val="both"/>
            </w:pPr>
            <w:r>
              <w:rPr>
                <w:rFonts w:ascii="仿宋_GB2312" w:hAnsi="仿宋_GB2312" w:cs="仿宋_GB2312" w:eastAsia="仿宋_GB2312"/>
                <w:sz w:val="21"/>
              </w:rPr>
              <w:t>10、《关于全省统一停止收缴建筑业劳保费用的通知》陕建发﹝2021﹞1021号；</w:t>
            </w:r>
          </w:p>
          <w:p>
            <w:pPr>
              <w:pStyle w:val="null3"/>
              <w:ind w:firstLine="420"/>
              <w:jc w:val="both"/>
            </w:pPr>
            <w:r>
              <w:rPr>
                <w:rFonts w:ascii="仿宋_GB2312" w:hAnsi="仿宋_GB2312" w:cs="仿宋_GB2312" w:eastAsia="仿宋_GB2312"/>
                <w:sz w:val="21"/>
              </w:rPr>
              <w:t>11、其他相关资料等；</w:t>
            </w:r>
          </w:p>
          <w:p>
            <w:pPr>
              <w:pStyle w:val="null3"/>
              <w:ind w:firstLine="420"/>
              <w:jc w:val="both"/>
            </w:pPr>
            <w:r>
              <w:rPr>
                <w:rFonts w:ascii="仿宋_GB2312" w:hAnsi="仿宋_GB2312" w:cs="仿宋_GB2312" w:eastAsia="仿宋_GB2312"/>
                <w:sz w:val="21"/>
              </w:rPr>
              <w:t>12、与建设工程项目有关的标准、规范、技术资料；</w:t>
            </w:r>
          </w:p>
          <w:p>
            <w:pPr>
              <w:pStyle w:val="null3"/>
              <w:ind w:firstLine="420"/>
              <w:jc w:val="both"/>
            </w:pPr>
            <w:r>
              <w:rPr>
                <w:rFonts w:ascii="仿宋_GB2312" w:hAnsi="仿宋_GB2312" w:cs="仿宋_GB2312" w:eastAsia="仿宋_GB2312"/>
                <w:sz w:val="21"/>
              </w:rPr>
              <w:t>13、本清单采用广联达云计价平台GCCP6.0软件编制，版本号：6.4100.23.122版。</w:t>
            </w:r>
          </w:p>
          <w:p>
            <w:pPr>
              <w:pStyle w:val="null3"/>
              <w:ind w:firstLine="420"/>
              <w:jc w:val="both"/>
            </w:pPr>
            <w:r>
              <w:rPr>
                <w:rFonts w:ascii="仿宋_GB2312" w:hAnsi="仿宋_GB2312" w:cs="仿宋_GB2312" w:eastAsia="仿宋_GB2312"/>
                <w:sz w:val="21"/>
              </w:rPr>
              <w:t>14</w:t>
            </w:r>
            <w:r>
              <w:rPr>
                <w:rFonts w:ascii="仿宋_GB2312" w:hAnsi="仿宋_GB2312" w:cs="仿宋_GB2312" w:eastAsia="仿宋_GB2312"/>
                <w:sz w:val="21"/>
              </w:rPr>
              <w:t>、有信息价的产品及基材，全部取</w:t>
            </w:r>
            <w:r>
              <w:rPr>
                <w:rFonts w:ascii="仿宋_GB2312" w:hAnsi="仿宋_GB2312" w:cs="仿宋_GB2312" w:eastAsia="仿宋_GB2312"/>
                <w:sz w:val="21"/>
              </w:rPr>
              <w:t>2025年5月陕西省材料信息价。</w:t>
            </w:r>
          </w:p>
          <w:p>
            <w:pPr>
              <w:pStyle w:val="null3"/>
              <w:ind w:firstLine="420"/>
              <w:jc w:val="both"/>
            </w:pPr>
            <w:r>
              <w:rPr>
                <w:rFonts w:ascii="仿宋_GB2312" w:hAnsi="仿宋_GB2312" w:cs="仿宋_GB2312" w:eastAsia="仿宋_GB2312"/>
                <w:sz w:val="21"/>
              </w:rPr>
              <w:t>15</w:t>
            </w:r>
            <w:r>
              <w:rPr>
                <w:rFonts w:ascii="仿宋_GB2312" w:hAnsi="仿宋_GB2312" w:cs="仿宋_GB2312" w:eastAsia="仿宋_GB2312"/>
                <w:sz w:val="21"/>
              </w:rPr>
              <w:t>、本项目暂列金</w:t>
            </w:r>
            <w:r>
              <w:rPr>
                <w:rFonts w:ascii="仿宋_GB2312" w:hAnsi="仿宋_GB2312" w:cs="仿宋_GB2312" w:eastAsia="仿宋_GB2312"/>
                <w:sz w:val="21"/>
              </w:rPr>
              <w:t>116147.53元</w:t>
            </w:r>
            <w:r>
              <w:rPr>
                <w:rFonts w:ascii="仿宋_GB2312" w:hAnsi="仿宋_GB2312" w:cs="仿宋_GB2312" w:eastAsia="仿宋_GB2312"/>
                <w:sz w:val="21"/>
              </w:rPr>
              <w:t>（主要用于张、杨两馆原消防系统设备设施及管线拆除等）</w:t>
            </w:r>
            <w:r>
              <w:rPr>
                <w:rFonts w:ascii="仿宋_GB2312" w:hAnsi="仿宋_GB2312" w:cs="仿宋_GB2312" w:eastAsia="仿宋_GB2312"/>
                <w:sz w:val="21"/>
              </w:rPr>
              <w:t>在其他项目费中计取，供应商如不按此费用计入报价，按无效响应处理。</w:t>
            </w:r>
          </w:p>
          <w:p>
            <w:pPr>
              <w:pStyle w:val="null3"/>
              <w:jc w:val="both"/>
            </w:pPr>
            <w:r>
              <w:rPr>
                <w:rFonts w:ascii="仿宋_GB2312" w:hAnsi="仿宋_GB2312" w:cs="仿宋_GB2312" w:eastAsia="仿宋_GB2312"/>
                <w:sz w:val="21"/>
              </w:rPr>
              <w:t>四、施工要求</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在施工期间，中标供应商必须注意人员安全，加强安全措施，并对施工人员进行安全教育。施工人员必须持证上岗。因采购人工作的特殊性，要求中标供应商在施工中做到封闭性施工。</w:t>
            </w:r>
          </w:p>
          <w:p>
            <w:pPr>
              <w:pStyle w:val="null3"/>
              <w:ind w:firstLine="420"/>
              <w:jc w:val="both"/>
            </w:pPr>
            <w:r>
              <w:rPr>
                <w:rFonts w:ascii="仿宋_GB2312" w:hAnsi="仿宋_GB2312" w:cs="仿宋_GB2312" w:eastAsia="仿宋_GB2312"/>
                <w:sz w:val="21"/>
              </w:rPr>
              <w:t>2.供应商根据工程实际情况编制施工方案，制定工期进度安排表。</w:t>
            </w:r>
          </w:p>
          <w:p>
            <w:pPr>
              <w:pStyle w:val="null3"/>
              <w:ind w:firstLine="420"/>
              <w:jc w:val="both"/>
            </w:pPr>
            <w:r>
              <w:rPr>
                <w:rFonts w:ascii="仿宋_GB2312" w:hAnsi="仿宋_GB2312" w:cs="仿宋_GB2312" w:eastAsia="仿宋_GB2312"/>
                <w:sz w:val="21"/>
              </w:rPr>
              <w:t>3.施工过程中，严格遵守建设单位的各种管理规定及规章制度，做到文明施工。发生工伤及意外事故由施工单位负责。</w:t>
            </w:r>
          </w:p>
          <w:p>
            <w:pPr>
              <w:pStyle w:val="null3"/>
              <w:ind w:firstLine="420"/>
              <w:jc w:val="both"/>
            </w:pPr>
            <w:r>
              <w:rPr>
                <w:rFonts w:ascii="仿宋_GB2312" w:hAnsi="仿宋_GB2312" w:cs="仿宋_GB2312" w:eastAsia="仿宋_GB2312"/>
                <w:sz w:val="21"/>
              </w:rPr>
              <w:t>4.工程实行包工包料，供应商必须具备相应的资质，不得转包、分包。</w:t>
            </w:r>
          </w:p>
          <w:p>
            <w:pPr>
              <w:pStyle w:val="null3"/>
              <w:ind w:firstLine="420"/>
              <w:jc w:val="both"/>
            </w:pPr>
            <w:r>
              <w:rPr>
                <w:rFonts w:ascii="仿宋_GB2312" w:hAnsi="仿宋_GB2312" w:cs="仿宋_GB2312" w:eastAsia="仿宋_GB2312"/>
                <w:sz w:val="21"/>
              </w:rPr>
              <w:t>5.施工过程中，严格遵守采购人的各种管理规定及规章制度，做到文明施工，避免工伤及意外事故发生。</w:t>
            </w:r>
          </w:p>
          <w:p>
            <w:pPr>
              <w:pStyle w:val="null3"/>
              <w:ind w:firstLine="420"/>
              <w:jc w:val="both"/>
            </w:pPr>
            <w:r>
              <w:rPr>
                <w:rFonts w:ascii="仿宋_GB2312" w:hAnsi="仿宋_GB2312" w:cs="仿宋_GB2312" w:eastAsia="仿宋_GB2312"/>
                <w:sz w:val="21"/>
              </w:rPr>
              <w:t>6.严格按照国家和省上有关规定施工、规范施工，确保工程合格，如有更改须事先征得有关方面的同意，并在采购人落实后实施，并出具书面说明。</w:t>
            </w:r>
          </w:p>
          <w:p>
            <w:pPr>
              <w:pStyle w:val="null3"/>
              <w:ind w:firstLine="420"/>
              <w:jc w:val="both"/>
            </w:pPr>
            <w:r>
              <w:rPr>
                <w:rFonts w:ascii="仿宋_GB2312" w:hAnsi="仿宋_GB2312" w:cs="仿宋_GB2312" w:eastAsia="仿宋_GB2312"/>
                <w:sz w:val="21"/>
              </w:rPr>
              <w:t>7.所有进场材料需携带合格证等质量证明文件。由采购人现场代表对所进场材料予以验收并签字确认。</w:t>
            </w:r>
          </w:p>
          <w:p>
            <w:pPr>
              <w:pStyle w:val="null3"/>
              <w:ind w:firstLine="420"/>
              <w:jc w:val="both"/>
            </w:pPr>
            <w:r>
              <w:rPr>
                <w:rFonts w:ascii="仿宋_GB2312" w:hAnsi="仿宋_GB2312" w:cs="仿宋_GB2312" w:eastAsia="仿宋_GB2312"/>
                <w:sz w:val="21"/>
              </w:rPr>
              <w:t>8.施工期间需采取必要措施确保现场正常运行。</w:t>
            </w:r>
          </w:p>
          <w:p>
            <w:pPr>
              <w:pStyle w:val="null3"/>
              <w:ind w:firstLine="420"/>
              <w:jc w:val="both"/>
            </w:pPr>
            <w:r>
              <w:rPr>
                <w:rFonts w:ascii="仿宋_GB2312" w:hAnsi="仿宋_GB2312" w:cs="仿宋_GB2312" w:eastAsia="仿宋_GB2312"/>
                <w:sz w:val="21"/>
              </w:rPr>
              <w:t>9.施工方未经采购人同意，不得擅自更换本工程在磋商响应文件中指定的项目施工负责人(项目经理)及施工队伍。不得分包、转包。确需分包时须征得采购人同意。否则将终止合同并按政府采购有关规定进行处理。</w:t>
            </w:r>
          </w:p>
          <w:p>
            <w:pPr>
              <w:pStyle w:val="null3"/>
              <w:jc w:val="both"/>
            </w:pPr>
            <w:r>
              <w:rPr>
                <w:rFonts w:ascii="仿宋_GB2312" w:hAnsi="仿宋_GB2312" w:cs="仿宋_GB2312" w:eastAsia="仿宋_GB2312"/>
                <w:sz w:val="21"/>
              </w:rPr>
              <w:t>五、商务要求</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合同签订后</w:t>
            </w:r>
            <w:r>
              <w:rPr>
                <w:rFonts w:ascii="仿宋_GB2312" w:hAnsi="仿宋_GB2312" w:cs="仿宋_GB2312" w:eastAsia="仿宋_GB2312"/>
                <w:sz w:val="21"/>
              </w:rPr>
              <w:t>7</w:t>
            </w:r>
            <w:r>
              <w:rPr>
                <w:rFonts w:ascii="仿宋_GB2312" w:hAnsi="仿宋_GB2312" w:cs="仿宋_GB2312" w:eastAsia="仿宋_GB2312"/>
                <w:sz w:val="21"/>
              </w:rPr>
              <w:t>天</w:t>
            </w:r>
            <w:r>
              <w:rPr>
                <w:rFonts w:ascii="仿宋_GB2312" w:hAnsi="仿宋_GB2312" w:cs="仿宋_GB2312" w:eastAsia="仿宋_GB2312"/>
                <w:sz w:val="21"/>
              </w:rPr>
              <w:t>内支付合同总价款</w:t>
            </w:r>
            <w:r>
              <w:rPr>
                <w:rFonts w:ascii="仿宋_GB2312" w:hAnsi="仿宋_GB2312" w:cs="仿宋_GB2312" w:eastAsia="仿宋_GB2312"/>
                <w:sz w:val="21"/>
              </w:rPr>
              <w:t>4</w:t>
            </w:r>
            <w:r>
              <w:rPr>
                <w:rFonts w:ascii="仿宋_GB2312" w:hAnsi="仿宋_GB2312" w:cs="仿宋_GB2312" w:eastAsia="仿宋_GB2312"/>
                <w:sz w:val="21"/>
              </w:rPr>
              <w:t>0%作为预付款</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）工程进度达到总工程量的</w:t>
            </w:r>
            <w:r>
              <w:rPr>
                <w:rFonts w:ascii="仿宋_GB2312" w:hAnsi="仿宋_GB2312" w:cs="仿宋_GB2312" w:eastAsia="仿宋_GB2312"/>
                <w:sz w:val="21"/>
              </w:rPr>
              <w:t>100%，达到付款条件后7天内，再支付合同总价的</w:t>
            </w:r>
            <w:r>
              <w:rPr>
                <w:rFonts w:ascii="仿宋_GB2312" w:hAnsi="仿宋_GB2312" w:cs="仿宋_GB2312" w:eastAsia="仿宋_GB2312"/>
                <w:sz w:val="21"/>
              </w:rPr>
              <w:t>3</w:t>
            </w:r>
            <w:r>
              <w:rPr>
                <w:rFonts w:ascii="仿宋_GB2312" w:hAnsi="仿宋_GB2312" w:cs="仿宋_GB2312" w:eastAsia="仿宋_GB2312"/>
                <w:sz w:val="21"/>
              </w:rPr>
              <w:t>0%。</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）工程竣工验收合格并审计后，达到付款条件后</w:t>
            </w:r>
            <w:r>
              <w:rPr>
                <w:rFonts w:ascii="仿宋_GB2312" w:hAnsi="仿宋_GB2312" w:cs="仿宋_GB2312" w:eastAsia="仿宋_GB2312"/>
                <w:sz w:val="21"/>
              </w:rPr>
              <w:t>7天内，支付到审定竣工结算合同总价的100%。</w:t>
            </w:r>
          </w:p>
          <w:p>
            <w:pPr>
              <w:pStyle w:val="null3"/>
              <w:ind w:firstLine="420"/>
              <w:jc w:val="both"/>
            </w:pPr>
            <w:r>
              <w:rPr>
                <w:rFonts w:ascii="仿宋_GB2312" w:hAnsi="仿宋_GB2312" w:cs="仿宋_GB2312" w:eastAsia="仿宋_GB2312"/>
                <w:sz w:val="21"/>
              </w:rPr>
              <w:t>六、其他</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质量验收标准或规范</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1）符合国家及行业质量验收</w:t>
            </w:r>
            <w:r>
              <w:rPr>
                <w:rFonts w:ascii="仿宋_GB2312" w:hAnsi="仿宋_GB2312" w:cs="仿宋_GB2312" w:eastAsia="仿宋_GB2312"/>
                <w:sz w:val="21"/>
              </w:rPr>
              <w:t>“</w:t>
            </w:r>
            <w:r>
              <w:rPr>
                <w:rFonts w:ascii="仿宋_GB2312" w:hAnsi="仿宋_GB2312" w:cs="仿宋_GB2312" w:eastAsia="仿宋_GB2312"/>
                <w:sz w:val="21"/>
              </w:rPr>
              <w:t>合格</w:t>
            </w:r>
            <w:r>
              <w:rPr>
                <w:rFonts w:ascii="仿宋_GB2312" w:hAnsi="仿宋_GB2312" w:cs="仿宋_GB2312" w:eastAsia="仿宋_GB2312"/>
                <w:sz w:val="21"/>
              </w:rPr>
              <w:t>”</w:t>
            </w:r>
            <w:r>
              <w:rPr>
                <w:rFonts w:ascii="仿宋_GB2312" w:hAnsi="仿宋_GB2312" w:cs="仿宋_GB2312" w:eastAsia="仿宋_GB2312"/>
                <w:sz w:val="21"/>
              </w:rPr>
              <w:t>标准；</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2）符合《安全生产管理条例》的标准；符合工程相关规范要求；</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3）工程验收标准：双方约定，在符合</w:t>
            </w:r>
            <w:r>
              <w:rPr>
                <w:rFonts w:ascii="仿宋_GB2312" w:hAnsi="仿宋_GB2312" w:cs="仿宋_GB2312" w:eastAsia="仿宋_GB2312"/>
                <w:sz w:val="21"/>
              </w:rPr>
              <w:t>采购</w:t>
            </w:r>
            <w:r>
              <w:rPr>
                <w:rFonts w:ascii="仿宋_GB2312" w:hAnsi="仿宋_GB2312" w:cs="仿宋_GB2312" w:eastAsia="仿宋_GB2312"/>
                <w:sz w:val="21"/>
              </w:rPr>
              <w:t>文件</w:t>
            </w:r>
            <w:r>
              <w:rPr>
                <w:rFonts w:ascii="仿宋_GB2312" w:hAnsi="仿宋_GB2312" w:cs="仿宋_GB2312" w:eastAsia="仿宋_GB2312"/>
                <w:sz w:val="21"/>
              </w:rPr>
              <w:t>及合同</w:t>
            </w:r>
            <w:r>
              <w:rPr>
                <w:rFonts w:ascii="仿宋_GB2312" w:hAnsi="仿宋_GB2312" w:cs="仿宋_GB2312" w:eastAsia="仿宋_GB2312"/>
                <w:sz w:val="21"/>
              </w:rPr>
              <w:t>中</w:t>
            </w:r>
            <w:r>
              <w:rPr>
                <w:rFonts w:ascii="仿宋_GB2312" w:hAnsi="仿宋_GB2312" w:cs="仿宋_GB2312" w:eastAsia="仿宋_GB2312"/>
                <w:sz w:val="21"/>
              </w:rPr>
              <w:t>关于</w:t>
            </w:r>
            <w:r>
              <w:rPr>
                <w:rFonts w:ascii="仿宋_GB2312" w:hAnsi="仿宋_GB2312" w:cs="仿宋_GB2312" w:eastAsia="仿宋_GB2312"/>
                <w:sz w:val="21"/>
              </w:rPr>
              <w:t>本工程施工要求的前提下，以</w:t>
            </w:r>
            <w:r>
              <w:rPr>
                <w:rFonts w:ascii="仿宋_GB2312" w:hAnsi="仿宋_GB2312" w:cs="仿宋_GB2312" w:eastAsia="仿宋_GB2312"/>
                <w:sz w:val="21"/>
              </w:rPr>
              <w:t>采购人</w:t>
            </w:r>
            <w:r>
              <w:rPr>
                <w:rFonts w:ascii="仿宋_GB2312" w:hAnsi="仿宋_GB2312" w:cs="仿宋_GB2312" w:eastAsia="仿宋_GB2312"/>
                <w:sz w:val="21"/>
              </w:rPr>
              <w:t>现场验收合格为准。</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违约责任</w:t>
            </w:r>
          </w:p>
          <w:p>
            <w:pPr>
              <w:pStyle w:val="null3"/>
              <w:jc w:val="both"/>
            </w:pPr>
            <w:r>
              <w:rPr>
                <w:rFonts w:ascii="仿宋_GB2312" w:hAnsi="仿宋_GB2312" w:cs="仿宋_GB2312" w:eastAsia="仿宋_GB2312"/>
                <w:sz w:val="21"/>
              </w:rPr>
              <w:t>详见建设工程施工合同</w:t>
            </w:r>
            <w:r>
              <w:rPr>
                <w:rFonts w:ascii="仿宋_GB2312" w:hAnsi="仿宋_GB2312" w:cs="仿宋_GB2312" w:eastAsia="仿宋_GB2312"/>
                <w:sz w:val="21"/>
              </w:rPr>
              <w:t>，</w:t>
            </w:r>
            <w:r>
              <w:rPr>
                <w:rFonts w:ascii="仿宋_GB2312" w:hAnsi="仿宋_GB2312" w:cs="仿宋_GB2312" w:eastAsia="仿宋_GB2312"/>
                <w:sz w:val="21"/>
              </w:rPr>
              <w:t>不超出《</w:t>
            </w:r>
            <w:r>
              <w:rPr>
                <w:rFonts w:ascii="仿宋_GB2312" w:hAnsi="仿宋_GB2312" w:cs="仿宋_GB2312" w:eastAsia="仿宋_GB2312"/>
                <w:sz w:val="21"/>
              </w:rPr>
              <w:t>中华人民共和国民法典</w:t>
            </w:r>
            <w:r>
              <w:rPr>
                <w:rFonts w:ascii="仿宋_GB2312" w:hAnsi="仿宋_GB2312" w:cs="仿宋_GB2312" w:eastAsia="仿宋_GB2312"/>
                <w:sz w:val="21"/>
              </w:rPr>
              <w:t>》中对于违约的责任上限。</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符合国家及行业质量验收“合格”标准；（2）符合《安全生产管理条例》的标准；符合工程相关规范要求；（3）工程验收标准：双方约定，在符合采购文件及合同中关于本工程施工要求的前提下，以采购人现场验收合格为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一、成交供应商在领取成交通知书时提供纸质版投标文件2套，应通过专用制作软件直接打印，确保与电子投标文件保持一致，不允许修改和补充。提交地点：陕西省西安市莲湖区丰登南路3号1幢306室（丰庆公园北门往西200米PM中心三楼）。 二、供应商的磋商报价包括施工设备费、人工费、管理费、材料与设备费、安装费、维护费、保险费、税金、利润、政策性规费、风险、责任等所有费用，并符合建设工程计价规则。已标价工程量清单应当按照采购文件中规定的暂列金额、专业工程暂估价、材料设备暂估价进行报价，否则将按无效响应处理。 三、恶意质疑、投诉的法律后果 1.对捏造事实、提供虚假材料进行质疑、投诉的行为将予以严肃处理： 《政府采购质疑和投诉办法》（财政部令第94号）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 2.对捏造事实诬告陷害他人、诽谤他人的法律适用：（1）《中华人民共和国刑法》第243条【诬告陷害罪】捏造事实诬告陷害他人，意图使他人受刑事追究，情节严重的，处三年以下有期徒刑、拘役或者管制；造成严重后果的，处三年以上十年以下有期徒刑。（2）《中华人民共和国刑法》第246条【侮辱罪、诽谤罪】以暴力或者其他方法公然侮辱他人或者捏造事实诽谤他人，情节严重的，处三年以下有期徒刑、拘役、管制或者剥夺政治权利。四、签名是指手写签名或者加盖名章(含电子)，盖章是指加盖单位印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供应商需在项目电子化交易系统中按要求填写《响应函》完成承诺并进行电子签章。（1）供应商的营业执照等证明文件，自然人的身份证明； (2) 法定代表人参加磋商的，提供本人身份证复印件；法定代表人授权他人参加磋商的，提供法定代表人委托授权书并出示被授权代表的身份证复印件；（3）税收缴纳证明：提供磋商截止时间前半年内任意一个月的纳税证明或完税证明，依法免税的单位应提供相关证明材料；（4）社会保障资金缴纳证明：提供磋商截止时间前半年内任意一个月的社会保障资金缴存单据或社保机构开具的社会保险参保缴费情况证明，依法不需要缴纳社会保障资金的单位应提供相关证明材料；（5）参加本次招标前3年内，在经营活动中没有重大违法记录的书面声明。</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提供2023年度或2024年度经审计的财务会计报告或其提交响应文件截止时间前3个月内银行出具的资信证明。（以上形式的资料提供任何一种即可） 要求：（1）供应商是企业法人的，应提供2023或2024全年度经审计的财务报告，包括 “四表一注”即《资产负债表》《利润表》《现金流量表》《所有者权益变动表》及其附注，或者提交响应文件截止时间前3个月内其基本账户开户银行出具的资信证明（附基本存款账户信息）；供应商是执行《小企业会计准则》的小微企业的，应提供2023或2024全年度经审计的财务报告，至少包括 《资产负债表》《利润表》《现金流量表》及其附注，或者提交响应文件截止时间前3个月内其基本账户开户银行出具的资信证明（附基本存款账户信息）； （2）其他组织和自然人，提供提交响应文件截止时间前3个月内银行出具的资信证明（附账户信息）； （3）供应商成立不到1年（至提交响应文件截止时间）的，提供成立后任意时段的资产负债表，或提交响应文件截止时间前3个月内其基本账户开户银行出具的资信证明（附基本存款账户信息）。</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资格证明文件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供应商及拟派项目负责人资质和专业要求</w:t>
            </w:r>
          </w:p>
        </w:tc>
        <w:tc>
          <w:tcPr>
            <w:tcW w:type="dxa" w:w="3322"/>
          </w:tcPr>
          <w:p>
            <w:pPr>
              <w:pStyle w:val="null3"/>
            </w:pPr>
            <w:r>
              <w:rPr>
                <w:rFonts w:ascii="仿宋_GB2312" w:hAnsi="仿宋_GB2312" w:cs="仿宋_GB2312" w:eastAsia="仿宋_GB2312"/>
              </w:rPr>
              <w:t>（1）供应商应具备建设行政主管部门颁发合法有效的消防设施工程专业承包一级资质证书和有效的安全生产许可证；（2）供应商拟派项目经理须具备合法有效的机电工程专业二级及以上注册建造师执业资格和有效的安全生产考核合格证书（B证）且在本单位注册，未担任其他在建工程项目的项目经理，且无不良记录（提供承诺书）；（3）供应商未被“信用中国”网站列入失信被执行人、重大税收违法失信主体名单，未被“中国政府采购网”网站列入政府采购严重违法失信行为记录名单；（4）供应商基本信息及项目经理的基本信息在“陕西省住房和城乡建设厅(http://js.shaanxi.gov.cn/)”或“全国建筑市场监管公共服务平台(https://jzsc.mohurd.gov.cn/)”可查询；（5）单位负责人为同一人或者存在直接控股、管理关系的不同供应商，不得参加同一合同项下的采购活动；（6）本项目不接受联合体磋商。</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应符合磋商文件中的要求</w:t>
            </w:r>
          </w:p>
        </w:tc>
        <w:tc>
          <w:tcPr>
            <w:tcW w:type="dxa" w:w="1661"/>
          </w:tcPr>
          <w:p>
            <w:pPr>
              <w:pStyle w:val="null3"/>
            </w:pPr>
            <w:r>
              <w:rPr>
                <w:rFonts w:ascii="仿宋_GB2312" w:hAnsi="仿宋_GB2312" w:cs="仿宋_GB2312" w:eastAsia="仿宋_GB2312"/>
              </w:rPr>
              <w:t>响应文件封面 资格证明文件 已标价工程量清单 商务技术文件 中小企业声明函 残疾人福利性单位声明函 供应商类似项目业绩一览表 响应函 强制优先采购产品承诺函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应符合“响应文件格式”要求（不得因文件排序等非实质性的格式、形式问题限制和影响供应商响应)</w:t>
            </w:r>
          </w:p>
        </w:tc>
        <w:tc>
          <w:tcPr>
            <w:tcW w:type="dxa" w:w="1661"/>
          </w:tcPr>
          <w:p>
            <w:pPr>
              <w:pStyle w:val="null3"/>
            </w:pPr>
            <w:r>
              <w:rPr>
                <w:rFonts w:ascii="仿宋_GB2312" w:hAnsi="仿宋_GB2312" w:cs="仿宋_GB2312" w:eastAsia="仿宋_GB2312"/>
              </w:rPr>
              <w:t>响应文件封面 已标价工程量清单 资格证明文件 商务技术文件 中小企业声明函 残疾人福利性单位声明函 供应商类似项目业绩一览表 响应函 监狱企业的证明文件 强制优先采购产品承诺函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已标价工程量清单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不存在以下情形： （1）不同供应商的响应文件由同一单位或者个人编制； （2）不同供应商委托同一单位或者个人办理磋商事宜； （3）不同供应商的响应文件载明的项目管理成员或者联系人员为同一人； （4）不同供应商的响应文件异常一致或者响应报价呈规律性差异； （5）不同供应商的响应文件相互混装。</w:t>
            </w:r>
          </w:p>
        </w:tc>
        <w:tc>
          <w:tcPr>
            <w:tcW w:type="dxa" w:w="1661"/>
          </w:tcPr>
          <w:p>
            <w:pPr>
              <w:pStyle w:val="null3"/>
            </w:pPr>
            <w:r>
              <w:rPr>
                <w:rFonts w:ascii="仿宋_GB2312" w:hAnsi="仿宋_GB2312" w:cs="仿宋_GB2312" w:eastAsia="仿宋_GB2312"/>
              </w:rPr>
              <w:t>响应文件封面 已标价工程量清单 资格证明文件 商务技术文件 供应商类似项目业绩一览表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应符合磋商文件中的规定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工程质量</w:t>
            </w:r>
          </w:p>
        </w:tc>
        <w:tc>
          <w:tcPr>
            <w:tcW w:type="dxa" w:w="3322"/>
          </w:tcPr>
          <w:p>
            <w:pPr>
              <w:pStyle w:val="null3"/>
            </w:pPr>
            <w:r>
              <w:rPr>
                <w:rFonts w:ascii="仿宋_GB2312" w:hAnsi="仿宋_GB2312" w:cs="仿宋_GB2312" w:eastAsia="仿宋_GB2312"/>
              </w:rPr>
              <w:t>应符合磋商文件中的规定</w:t>
            </w:r>
          </w:p>
        </w:tc>
        <w:tc>
          <w:tcPr>
            <w:tcW w:type="dxa" w:w="1661"/>
          </w:tcPr>
          <w:p>
            <w:pPr>
              <w:pStyle w:val="null3"/>
            </w:pPr>
            <w:r>
              <w:rPr>
                <w:rFonts w:ascii="仿宋_GB2312" w:hAnsi="仿宋_GB2312" w:cs="仿宋_GB2312" w:eastAsia="仿宋_GB2312"/>
              </w:rPr>
              <w:t>商务技术文件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暂列金</w:t>
            </w:r>
          </w:p>
        </w:tc>
        <w:tc>
          <w:tcPr>
            <w:tcW w:type="dxa" w:w="3322"/>
          </w:tcPr>
          <w:p>
            <w:pPr>
              <w:pStyle w:val="null3"/>
            </w:pPr>
            <w:r>
              <w:rPr>
                <w:rFonts w:ascii="仿宋_GB2312" w:hAnsi="仿宋_GB2312" w:cs="仿宋_GB2312" w:eastAsia="仿宋_GB2312"/>
              </w:rPr>
              <w:t>应符合磋商文件中的规定</w:t>
            </w:r>
          </w:p>
        </w:tc>
        <w:tc>
          <w:tcPr>
            <w:tcW w:type="dxa" w:w="1661"/>
          </w:tcPr>
          <w:p>
            <w:pPr>
              <w:pStyle w:val="null3"/>
            </w:pPr>
            <w:r>
              <w:rPr>
                <w:rFonts w:ascii="仿宋_GB2312" w:hAnsi="仿宋_GB2312" w:cs="仿宋_GB2312" w:eastAsia="仿宋_GB2312"/>
              </w:rPr>
              <w:t>已标价工程量清单</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已标价工程量清单</w:t>
            </w:r>
          </w:p>
        </w:tc>
        <w:tc>
          <w:tcPr>
            <w:tcW w:type="dxa" w:w="3322"/>
          </w:tcPr>
          <w:p>
            <w:pPr>
              <w:pStyle w:val="null3"/>
            </w:pPr>
            <w:r>
              <w:rPr>
                <w:rFonts w:ascii="仿宋_GB2312" w:hAnsi="仿宋_GB2312" w:cs="仿宋_GB2312" w:eastAsia="仿宋_GB2312"/>
              </w:rPr>
              <w:t>应符合磋商文件给出的范围和数量</w:t>
            </w:r>
          </w:p>
        </w:tc>
        <w:tc>
          <w:tcPr>
            <w:tcW w:type="dxa" w:w="1661"/>
          </w:tcPr>
          <w:p>
            <w:pPr>
              <w:pStyle w:val="null3"/>
            </w:pPr>
            <w:r>
              <w:rPr>
                <w:rFonts w:ascii="仿宋_GB2312" w:hAnsi="仿宋_GB2312" w:cs="仿宋_GB2312" w:eastAsia="仿宋_GB2312"/>
              </w:rPr>
              <w:t>已标价工程量清单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施工总体方案</w:t>
            </w:r>
          </w:p>
        </w:tc>
        <w:tc>
          <w:tcPr>
            <w:tcW w:type="dxa" w:w="2492"/>
          </w:tcPr>
          <w:p>
            <w:pPr>
              <w:pStyle w:val="null3"/>
            </w:pPr>
            <w:r>
              <w:rPr>
                <w:rFonts w:ascii="仿宋_GB2312" w:hAnsi="仿宋_GB2312" w:cs="仿宋_GB2312" w:eastAsia="仿宋_GB2312"/>
              </w:rPr>
              <w:t>（1）施工总体方案非常详细、完整，可行、有针对性，有利于项目实施，得(6-8]分； （2）施工总体方案比较详细完整、可行，较利于项目实施，得(3-6]分； （3）施工总体方案简单粗略，得(0-3]分； （4）无此项内容得0分。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施工过程中文物保护方案</w:t>
            </w:r>
          </w:p>
        </w:tc>
        <w:tc>
          <w:tcPr>
            <w:tcW w:type="dxa" w:w="2492"/>
          </w:tcPr>
          <w:p>
            <w:pPr>
              <w:pStyle w:val="null3"/>
            </w:pPr>
            <w:r>
              <w:rPr>
                <w:rFonts w:ascii="仿宋_GB2312" w:hAnsi="仿宋_GB2312" w:cs="仿宋_GB2312" w:eastAsia="仿宋_GB2312"/>
              </w:rPr>
              <w:t>（1）施工过程中文物保护方案详细、可行性高、有针对性，得(6-8]分； （2）施工过程中文物保护方案比较详细完整、可行、针对性一般，得(3-6]分； （3）施工过程中文物保护方案简单粗略，得(0-3]分； （4）无此项内容得0分。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施工质量保证措施</w:t>
            </w:r>
          </w:p>
        </w:tc>
        <w:tc>
          <w:tcPr>
            <w:tcW w:type="dxa" w:w="2492"/>
          </w:tcPr>
          <w:p>
            <w:pPr>
              <w:pStyle w:val="null3"/>
            </w:pPr>
            <w:r>
              <w:rPr>
                <w:rFonts w:ascii="仿宋_GB2312" w:hAnsi="仿宋_GB2312" w:cs="仿宋_GB2312" w:eastAsia="仿宋_GB2312"/>
              </w:rPr>
              <w:t>（1）施工质量保证措施完备齐全、合理、切实可行，得(4-6]分； （2）施工质量保证措施完备齐全、合理性一般、基本可行，得(2-4]分； （3）施工质量保证措施基本完备齐全、合理性、可行性较差，得(0-2]分； （4）无此项内容得0分。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施工安全保证措施</w:t>
            </w:r>
          </w:p>
        </w:tc>
        <w:tc>
          <w:tcPr>
            <w:tcW w:type="dxa" w:w="2492"/>
          </w:tcPr>
          <w:p>
            <w:pPr>
              <w:pStyle w:val="null3"/>
            </w:pPr>
            <w:r>
              <w:rPr>
                <w:rFonts w:ascii="仿宋_GB2312" w:hAnsi="仿宋_GB2312" w:cs="仿宋_GB2312" w:eastAsia="仿宋_GB2312"/>
              </w:rPr>
              <w:t>（1）施工安全保证措施完备齐全、合理、切实可行，得(4-6]分； （2）施工安全保证措施完备齐全、合理性一般、基本可行，得(2-4]分； （3）施工安全保证措施基本完备齐全、合理性、可行性较差，得(0-2]分； （4）无此项内容得0分。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施工进度计划及工期保证措施</w:t>
            </w:r>
          </w:p>
        </w:tc>
        <w:tc>
          <w:tcPr>
            <w:tcW w:type="dxa" w:w="2492"/>
          </w:tcPr>
          <w:p>
            <w:pPr>
              <w:pStyle w:val="null3"/>
            </w:pPr>
            <w:r>
              <w:rPr>
                <w:rFonts w:ascii="仿宋_GB2312" w:hAnsi="仿宋_GB2312" w:cs="仿宋_GB2312" w:eastAsia="仿宋_GB2312"/>
              </w:rPr>
              <w:t>（1）施工进度计划及工期保证措施完备齐全、合理、切实可行，得(4-6]分； （2）施工进度计划及工期保证措施完备齐全、合理性一般、基本可行，得(2-4]分； （3）施工进度计划及措施基本完备、合理性、可行性较差，得(0-2]分。 （4）无此项内容得0分。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项目实施协调方案</w:t>
            </w:r>
          </w:p>
        </w:tc>
        <w:tc>
          <w:tcPr>
            <w:tcW w:type="dxa" w:w="2492"/>
          </w:tcPr>
          <w:p>
            <w:pPr>
              <w:pStyle w:val="null3"/>
            </w:pPr>
            <w:r>
              <w:rPr>
                <w:rFonts w:ascii="仿宋_GB2312" w:hAnsi="仿宋_GB2312" w:cs="仿宋_GB2312" w:eastAsia="仿宋_GB2312"/>
              </w:rPr>
              <w:t>（1）项目实施协调方案非常详细、可行、有针对性，有利于项目实施的得(4-6]分； （2）项目实施协调方案详细、有可行性，较利于项目实施的得(2-4]分； （3）项目实施协调方案粗略、可行性较差的得(0-2]分； （4）无此项内容得0分。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文明施工措施及环境保护措施</w:t>
            </w:r>
          </w:p>
        </w:tc>
        <w:tc>
          <w:tcPr>
            <w:tcW w:type="dxa" w:w="2492"/>
          </w:tcPr>
          <w:p>
            <w:pPr>
              <w:pStyle w:val="null3"/>
            </w:pPr>
            <w:r>
              <w:rPr>
                <w:rFonts w:ascii="仿宋_GB2312" w:hAnsi="仿宋_GB2312" w:cs="仿宋_GB2312" w:eastAsia="仿宋_GB2312"/>
              </w:rPr>
              <w:t>（1）文明施工措施及环境保护措施完备齐全、合理、切实可行，得(4-6]分； （2）文明施工措施及环境保护措施完备齐全、合理性一般、基本可行，得(2-4]分； （3）文明施工措施及环境保护措施基本完备齐全、合理性、可行性较差，得(0-2]分； （4）无此项内容得0分。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项目管理机构及劳动力安排计划</w:t>
            </w:r>
          </w:p>
        </w:tc>
        <w:tc>
          <w:tcPr>
            <w:tcW w:type="dxa" w:w="2492"/>
          </w:tcPr>
          <w:p>
            <w:pPr>
              <w:pStyle w:val="null3"/>
            </w:pPr>
            <w:r>
              <w:rPr>
                <w:rFonts w:ascii="仿宋_GB2312" w:hAnsi="仿宋_GB2312" w:cs="仿宋_GB2312" w:eastAsia="仿宋_GB2312"/>
              </w:rPr>
              <w:t>（1）人员配备合理、分工明确、管理制度完善，得(4-6]分； （2）人员配备基本合理、分工明确、管理制度较完善，得(2-4]分； （3）人员配备不合理、分工模糊、管理制度粗略，得(0-2]分； （4）无此项内容得0分。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根据施工机械配备和材料投入计划的合理性、可行性进行赋分，赋0-6分。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工程质量保修承诺</w:t>
            </w:r>
          </w:p>
        </w:tc>
        <w:tc>
          <w:tcPr>
            <w:tcW w:type="dxa" w:w="2492"/>
          </w:tcPr>
          <w:p>
            <w:pPr>
              <w:pStyle w:val="null3"/>
            </w:pPr>
            <w:r>
              <w:rPr>
                <w:rFonts w:ascii="仿宋_GB2312" w:hAnsi="仿宋_GB2312" w:cs="仿宋_GB2312" w:eastAsia="仿宋_GB2312"/>
              </w:rPr>
              <w:t>根据工程质量保修期内服务承诺的完善性、合理性、可行性进行赋分，赋0-6分。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主要材料与设备为节能产品</w:t>
            </w:r>
          </w:p>
        </w:tc>
        <w:tc>
          <w:tcPr>
            <w:tcW w:type="dxa" w:w="2492"/>
          </w:tcPr>
          <w:p>
            <w:pPr>
              <w:pStyle w:val="null3"/>
            </w:pPr>
            <w:r>
              <w:rPr>
                <w:rFonts w:ascii="仿宋_GB2312" w:hAnsi="仿宋_GB2312" w:cs="仿宋_GB2312" w:eastAsia="仿宋_GB2312"/>
              </w:rPr>
              <w:t>每种产品得0.5分，最高得1分，没有计0分。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主要材料与设备为环境标志产品</w:t>
            </w:r>
          </w:p>
        </w:tc>
        <w:tc>
          <w:tcPr>
            <w:tcW w:type="dxa" w:w="2492"/>
          </w:tcPr>
          <w:p>
            <w:pPr>
              <w:pStyle w:val="null3"/>
            </w:pPr>
            <w:r>
              <w:rPr>
                <w:rFonts w:ascii="仿宋_GB2312" w:hAnsi="仿宋_GB2312" w:cs="仿宋_GB2312" w:eastAsia="仿宋_GB2312"/>
              </w:rPr>
              <w:t>每种产品得0.5分，最高得1分，没有计0分。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具有2020年6月1日至今的类似业绩(以合同签订日期为准)，业绩以合同复印件为依据。每个业绩计2分，2个以上(含2个)计4分。未提供计0分。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商务技术文件</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供应商的价格分，按照财政部财库〔2014〕214号文件第二十四条和 财库〔2020〕46号文件的规定，采用低价优先法计算，以本次满足磋商文件要求的最低最后磋商报价为磋商基准价，其磋商报价为满分。供应商的磋商报价得分，统一按照下列公式计算：磋商报价得分=(磋商基准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详见附件：商务技术文件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