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版本号：ZX2025-06-13(二次)20250625001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2025年西安市重点单位直播带岗活动项目(二次)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ZX2025-06-13(二次)</w:t>
      </w:r>
      <w:r>
        <w:br/>
      </w:r>
      <w:r>
        <w:br/>
      </w:r>
      <w:r>
        <w:br/>
      </w:r>
    </w:p>
    <w:p>
      <w:pPr>
        <w:pStyle w:val="null3"/>
        <w:jc w:val="center"/>
        <w:outlineLvl w:val="2"/>
      </w:pPr>
      <w:r>
        <w:rPr>
          <w:rFonts w:ascii="仿宋_GB2312" w:hAnsi="仿宋_GB2312" w:cs="仿宋_GB2312" w:eastAsia="仿宋_GB2312"/>
          <w:sz w:val="28"/>
          <w:b/>
        </w:rPr>
        <w:t>西安市人才服务中心</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西安市人才服务中心</w:t>
      </w:r>
      <w:r>
        <w:rPr>
          <w:rFonts w:ascii="仿宋_GB2312" w:hAnsi="仿宋_GB2312" w:cs="仿宋_GB2312" w:eastAsia="仿宋_GB2312"/>
        </w:rPr>
        <w:t>委托，拟对</w:t>
      </w:r>
      <w:r>
        <w:rPr>
          <w:rFonts w:ascii="仿宋_GB2312" w:hAnsi="仿宋_GB2312" w:cs="仿宋_GB2312" w:eastAsia="仿宋_GB2312"/>
        </w:rPr>
        <w:t>2025年西安市重点单位直播带岗活动项目(二次)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ZX2025-06-13(二次)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2025年西安市重点单位直播带岗活动项目(二次)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2025年西安市重点单位直播带岗活动项目，1项，具体内容详见磋商文件第三章。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采购包1（2025年西安市重点单位直播带岗活动项目）：属于专门面向中小企业采购。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1、法定代表人授权委托书：法定代表人授权委托书：法定代表人参加磋商的，须提供身份证；法定代表人授权本单位他人参加磋商的，须提供法定代表人授权委托书。</w:t>
      </w:r>
    </w:p>
    <w:p>
      <w:pPr>
        <w:pStyle w:val="null3"/>
      </w:pPr>
      <w:r>
        <w:rPr>
          <w:rFonts w:ascii="仿宋_GB2312" w:hAnsi="仿宋_GB2312" w:cs="仿宋_GB2312" w:eastAsia="仿宋_GB2312"/>
        </w:rPr>
        <w:t>2、不接受联合体磋商，不允许分包：不接受联合体磋商，不允许分包：本项目不接受联合体磋商，不允许分包。供应商应提供《非联合体不分包投标声明》。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西安市人才服务中心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029-88360286-8104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周楚杰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代理服务费收费标准：本项目招标代理服务费按定额柒仟元整收取。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西安市人才服务中心</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西安市人才服务中心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西安市人才服务中心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 胡怡洁</w:t>
      </w:r>
    </w:p>
    <w:p>
      <w:pPr>
        <w:pStyle w:val="null3"/>
      </w:pPr>
      <w:r>
        <w:rPr>
          <w:rFonts w:ascii="仿宋_GB2312" w:hAnsi="仿宋_GB2312" w:cs="仿宋_GB2312" w:eastAsia="仿宋_GB2312"/>
        </w:rPr>
        <w:t>联系电话：029-88110800转8030（邮箱号：453963218@qq.com）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2025年西安市重点单位直播带岗活动项目，1项。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西安市重点单位直播带岗活动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标的名称：西安市重点单位直播带岗活动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推进直播带岗在就业公共服务领域广泛应用，提升就业服务效能，加大对主导产业、重点企业用工保障，助力高校毕业生高质量充分就业，持续打造“西安人才直播间”品牌，计划开展2025年西安市重点单位直播带岗活动，为保障活动顺利开展，现制定方案如下：</w:t>
            </w:r>
          </w:p>
          <w:p>
            <w:pPr>
              <w:pStyle w:val="null3"/>
            </w:pPr>
            <w:r>
              <w:rPr>
                <w:rFonts w:ascii="仿宋_GB2312" w:hAnsi="仿宋_GB2312" w:cs="仿宋_GB2312" w:eastAsia="仿宋_GB2312"/>
              </w:rPr>
              <w:t>一、活动名称</w:t>
            </w:r>
          </w:p>
          <w:p>
            <w:pPr>
              <w:pStyle w:val="null3"/>
            </w:pPr>
            <w:r>
              <w:rPr>
                <w:rFonts w:ascii="仿宋_GB2312" w:hAnsi="仿宋_GB2312" w:cs="仿宋_GB2312" w:eastAsia="仿宋_GB2312"/>
              </w:rPr>
              <w:t>2025年西安市重点单位直播带岗活动</w:t>
            </w:r>
          </w:p>
          <w:p>
            <w:pPr>
              <w:pStyle w:val="null3"/>
            </w:pPr>
            <w:r>
              <w:rPr>
                <w:rFonts w:ascii="仿宋_GB2312" w:hAnsi="仿宋_GB2312" w:cs="仿宋_GB2312" w:eastAsia="仿宋_GB2312"/>
              </w:rPr>
              <w:t>二、活动时间</w:t>
            </w:r>
          </w:p>
          <w:p>
            <w:pPr>
              <w:pStyle w:val="null3"/>
            </w:pPr>
            <w:r>
              <w:rPr>
                <w:rFonts w:ascii="仿宋_GB2312" w:hAnsi="仿宋_GB2312" w:cs="仿宋_GB2312" w:eastAsia="仿宋_GB2312"/>
              </w:rPr>
              <w:t>7月-11月</w:t>
            </w:r>
          </w:p>
          <w:p>
            <w:pPr>
              <w:pStyle w:val="null3"/>
            </w:pPr>
            <w:r>
              <w:rPr>
                <w:rFonts w:ascii="仿宋_GB2312" w:hAnsi="仿宋_GB2312" w:cs="仿宋_GB2312" w:eastAsia="仿宋_GB2312"/>
              </w:rPr>
              <w:t>三、组织机构</w:t>
            </w:r>
          </w:p>
          <w:p>
            <w:pPr>
              <w:pStyle w:val="null3"/>
            </w:pPr>
            <w:r>
              <w:rPr>
                <w:rFonts w:ascii="仿宋_GB2312" w:hAnsi="仿宋_GB2312" w:cs="仿宋_GB2312" w:eastAsia="仿宋_GB2312"/>
              </w:rPr>
              <w:t>主办单位：西安市人力资源和社会保障局</w:t>
            </w:r>
          </w:p>
          <w:p>
            <w:pPr>
              <w:pStyle w:val="null3"/>
            </w:pPr>
            <w:r>
              <w:rPr>
                <w:rFonts w:ascii="仿宋_GB2312" w:hAnsi="仿宋_GB2312" w:cs="仿宋_GB2312" w:eastAsia="仿宋_GB2312"/>
              </w:rPr>
              <w:t>承办单位：西安市人才服务中心</w:t>
            </w:r>
          </w:p>
          <w:p>
            <w:pPr>
              <w:pStyle w:val="null3"/>
            </w:pPr>
            <w:r>
              <w:rPr>
                <w:rFonts w:ascii="仿宋_GB2312" w:hAnsi="仿宋_GB2312" w:cs="仿宋_GB2312" w:eastAsia="仿宋_GB2312"/>
              </w:rPr>
              <w:t>西安毕业生就业市场</w:t>
            </w:r>
          </w:p>
          <w:p>
            <w:pPr>
              <w:pStyle w:val="null3"/>
            </w:pPr>
            <w:r>
              <w:rPr>
                <w:rFonts w:ascii="仿宋_GB2312" w:hAnsi="仿宋_GB2312" w:cs="仿宋_GB2312" w:eastAsia="仿宋_GB2312"/>
              </w:rPr>
              <w:t>协办单位：各区县、西咸新区、各开发区人社部门</w:t>
            </w:r>
          </w:p>
          <w:p>
            <w:pPr>
              <w:pStyle w:val="null3"/>
            </w:pPr>
            <w:r>
              <w:rPr>
                <w:rFonts w:ascii="仿宋_GB2312" w:hAnsi="仿宋_GB2312" w:cs="仿宋_GB2312" w:eastAsia="仿宋_GB2312"/>
              </w:rPr>
              <w:t>西安地区各相关高校</w:t>
            </w:r>
          </w:p>
          <w:p>
            <w:pPr>
              <w:pStyle w:val="null3"/>
            </w:pPr>
            <w:r>
              <w:rPr>
                <w:rFonts w:ascii="仿宋_GB2312" w:hAnsi="仿宋_GB2312" w:cs="仿宋_GB2312" w:eastAsia="仿宋_GB2312"/>
              </w:rPr>
              <w:t>四、活动安排</w:t>
            </w:r>
          </w:p>
          <w:p>
            <w:pPr>
              <w:pStyle w:val="null3"/>
            </w:pPr>
            <w:r>
              <w:rPr>
                <w:rFonts w:ascii="仿宋_GB2312" w:hAnsi="仿宋_GB2312" w:cs="仿宋_GB2312" w:eastAsia="仿宋_GB2312"/>
              </w:rPr>
              <w:t>持续打造“西安人才直播间”品牌，改变单一推介岗位形式，推进“直播带岗2.0”，增加人才推介、政策宣传、就业指导等内容。邀请西安重点企业、高校老师、就业指导师、各级人社部门走进直播间开展直播带岗、直播送才、政策宣讲、就业指导等。7月-11月于每周固定时间、固定直播间持续开展直播活动，共计20场。</w:t>
            </w:r>
          </w:p>
          <w:p>
            <w:pPr>
              <w:pStyle w:val="null3"/>
            </w:pPr>
            <w:r>
              <w:rPr>
                <w:rFonts w:ascii="仿宋_GB2312" w:hAnsi="仿宋_GB2312" w:cs="仿宋_GB2312" w:eastAsia="仿宋_GB2312"/>
              </w:rPr>
              <w:t>（一）直播带岗：邀请重点行业代表、重点单位HR做客直播间，在线为广大求职者介绍行业发展前景，推介就业岗位、招聘需求、薪资待遇等。走进产业园区、深入企业一线，通过沉浸式直播带求职者实地探访企业文化、办公环境，由企业HR现场讲解岗位实操流程、团队协作模式及职业发展通道，实现"所见即所得"的求职体验。</w:t>
            </w:r>
          </w:p>
          <w:p>
            <w:pPr>
              <w:pStyle w:val="null3"/>
            </w:pPr>
            <w:r>
              <w:rPr>
                <w:rFonts w:ascii="仿宋_GB2312" w:hAnsi="仿宋_GB2312" w:cs="仿宋_GB2312" w:eastAsia="仿宋_GB2312"/>
              </w:rPr>
              <w:t>（二）直播推才：邀请高校老师展示学校优势学科、专业特色、人才培养成果，介绍就业服务举措，向广大用人单位推介优秀毕业生。</w:t>
            </w:r>
          </w:p>
          <w:p>
            <w:pPr>
              <w:pStyle w:val="null3"/>
            </w:pPr>
            <w:r>
              <w:rPr>
                <w:rFonts w:ascii="仿宋_GB2312" w:hAnsi="仿宋_GB2312" w:cs="仿宋_GB2312" w:eastAsia="仿宋_GB2312"/>
              </w:rPr>
              <w:t>（三）政策宣讲：邀请市级和区县、开发区相关业务工作人员做客直播间进行就业创业、人才认定、档案、党务等政策讲解，提高政策知晓度和利用率。</w:t>
            </w:r>
          </w:p>
          <w:p>
            <w:pPr>
              <w:pStyle w:val="null3"/>
            </w:pPr>
            <w:r>
              <w:rPr>
                <w:rFonts w:ascii="仿宋_GB2312" w:hAnsi="仿宋_GB2312" w:cs="仿宋_GB2312" w:eastAsia="仿宋_GB2312"/>
              </w:rPr>
              <w:t>（四）就业指导：邀请就业指导师做客直播间开展职业规划、简历制作、求职技能、权益保护等方面的就业指导课程。</w:t>
            </w:r>
          </w:p>
          <w:tbl>
            <w:tblPr>
              <w:tblInd w:type="dxa" w:w="255"/>
              <w:tblBorders>
                <w:top w:val="none" w:color="000000" w:sz="4"/>
                <w:left w:val="none" w:color="000000" w:sz="4"/>
                <w:bottom w:val="none" w:color="000000" w:sz="4"/>
                <w:right w:val="none" w:color="000000" w:sz="4"/>
                <w:insideH w:val="none"/>
                <w:insideV w:val="none"/>
              </w:tblBorders>
            </w:tblPr>
            <w:tblGrid>
              <w:gridCol w:w="398"/>
              <w:gridCol w:w="398"/>
              <w:gridCol w:w="398"/>
              <w:gridCol w:w="398"/>
              <w:gridCol w:w="398"/>
              <w:gridCol w:w="398"/>
              <w:gridCol w:w="398"/>
              <w:gridCol w:w="398"/>
            </w:tblGrid>
            <w:tr>
              <w:tc>
                <w:tcPr>
                  <w:tcW w:type="dxa" w:w="3184"/>
                  <w:gridSpan w:val="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2025年西安市重点单位直播带岗活动项目明细</w:t>
                  </w:r>
                </w:p>
              </w:tc>
            </w:tr>
            <w:tr>
              <w:tc>
                <w:tcPr>
                  <w:tcW w:type="dxa" w:w="398"/>
                </w:tcPr>
                <w:p>
                  <w:pPr>
                    <w:pStyle w:val="null3"/>
                  </w:pPr>
                  <w:r>
                    <w:rPr>
                      <w:rFonts w:ascii="仿宋_GB2312" w:hAnsi="仿宋_GB2312" w:cs="仿宋_GB2312" w:eastAsia="仿宋_GB2312"/>
                      <w:sz w:val="19"/>
                    </w:rPr>
                    <w:t>类型</w:t>
                  </w:r>
                </w:p>
              </w:tc>
              <w:tc>
                <w:tcPr>
                  <w:tcW w:type="dxa" w:w="398"/>
                </w:tcPr>
                <w:p>
                  <w:pPr>
                    <w:pStyle w:val="null3"/>
                  </w:pPr>
                  <w:r>
                    <w:rPr>
                      <w:rFonts w:ascii="仿宋_GB2312" w:hAnsi="仿宋_GB2312" w:cs="仿宋_GB2312" w:eastAsia="仿宋_GB2312"/>
                      <w:sz w:val="19"/>
                    </w:rPr>
                    <w:t>名称</w:t>
                  </w:r>
                </w:p>
              </w:tc>
              <w:tc>
                <w:tcPr>
                  <w:tcW w:type="dxa" w:w="398"/>
                </w:tcPr>
                <w:p>
                  <w:pPr>
                    <w:pStyle w:val="null3"/>
                  </w:pPr>
                  <w:r>
                    <w:rPr>
                      <w:rFonts w:ascii="仿宋_GB2312" w:hAnsi="仿宋_GB2312" w:cs="仿宋_GB2312" w:eastAsia="仿宋_GB2312"/>
                      <w:sz w:val="19"/>
                    </w:rPr>
                    <w:t>规格</w:t>
                  </w:r>
                </w:p>
              </w:tc>
              <w:tc>
                <w:tcPr>
                  <w:tcW w:type="dxa" w:w="398"/>
                </w:tcPr>
                <w:p>
                  <w:pPr>
                    <w:pStyle w:val="null3"/>
                  </w:pPr>
                  <w:r>
                    <w:rPr>
                      <w:rFonts w:ascii="仿宋_GB2312" w:hAnsi="仿宋_GB2312" w:cs="仿宋_GB2312" w:eastAsia="仿宋_GB2312"/>
                      <w:sz w:val="19"/>
                    </w:rPr>
                    <w:t>数量</w:t>
                  </w:r>
                </w:p>
              </w:tc>
              <w:tc>
                <w:tcPr>
                  <w:tcW w:type="dxa" w:w="398"/>
                </w:tcPr>
                <w:p>
                  <w:pPr>
                    <w:pStyle w:val="null3"/>
                  </w:pPr>
                  <w:r>
                    <w:rPr>
                      <w:rFonts w:ascii="仿宋_GB2312" w:hAnsi="仿宋_GB2312" w:cs="仿宋_GB2312" w:eastAsia="仿宋_GB2312"/>
                      <w:sz w:val="19"/>
                    </w:rPr>
                    <w:t>单位</w:t>
                  </w:r>
                </w:p>
              </w:tc>
              <w:tc>
                <w:tcPr>
                  <w:tcW w:type="dxa" w:w="398"/>
                </w:tcPr>
                <w:p>
                  <w:pPr>
                    <w:pStyle w:val="null3"/>
                  </w:pPr>
                  <w:r>
                    <w:rPr>
                      <w:rFonts w:ascii="仿宋_GB2312" w:hAnsi="仿宋_GB2312" w:cs="仿宋_GB2312" w:eastAsia="仿宋_GB2312"/>
                      <w:sz w:val="19"/>
                    </w:rPr>
                    <w:t>场次/场</w:t>
                  </w:r>
                </w:p>
              </w:tc>
              <w:tc>
                <w:tcPr>
                  <w:tcW w:type="dxa" w:w="398"/>
                </w:tcPr>
                <w:p>
                  <w:pPr>
                    <w:pStyle w:val="null3"/>
                  </w:pPr>
                  <w:r>
                    <w:rPr>
                      <w:rFonts w:ascii="仿宋_GB2312" w:hAnsi="仿宋_GB2312" w:cs="仿宋_GB2312" w:eastAsia="仿宋_GB2312"/>
                      <w:sz w:val="19"/>
                    </w:rPr>
                    <w:t>备注</w:t>
                  </w:r>
                </w:p>
              </w:tc>
              <w:tc>
                <w:tcPr>
                  <w:tcW w:type="dxa" w:w="398"/>
                </w:tcPr>
                <w:p>
                  <w:pPr>
                    <w:pStyle w:val="null3"/>
                  </w:pPr>
                  <w:r>
                    <w:rPr>
                      <w:rFonts w:ascii="仿宋_GB2312" w:hAnsi="仿宋_GB2312" w:cs="仿宋_GB2312" w:eastAsia="仿宋_GB2312"/>
                      <w:sz w:val="19"/>
                    </w:rPr>
                    <w:t xml:space="preserve"> </w:t>
                  </w:r>
                </w:p>
              </w:tc>
            </w:tr>
            <w:tr>
              <w:tc>
                <w:tcPr>
                  <w:tcW w:type="dxa" w:w="398"/>
                  <w:vMerge w:val="restart"/>
                </w:tcPr>
                <w:p>
                  <w:pPr>
                    <w:pStyle w:val="null3"/>
                  </w:pPr>
                  <w:r>
                    <w:rPr>
                      <w:rFonts w:ascii="仿宋_GB2312" w:hAnsi="仿宋_GB2312" w:cs="仿宋_GB2312" w:eastAsia="仿宋_GB2312"/>
                      <w:sz w:val="19"/>
                    </w:rPr>
                    <w:t>直播带岗</w:t>
                  </w:r>
                </w:p>
                <w:p>
                  <w:pPr>
                    <w:pStyle w:val="null3"/>
                  </w:pPr>
                  <w:r>
                    <w:rPr>
                      <w:rFonts w:ascii="仿宋_GB2312" w:hAnsi="仿宋_GB2312" w:cs="仿宋_GB2312" w:eastAsia="仿宋_GB2312"/>
                      <w:sz w:val="19"/>
                    </w:rPr>
                    <w:t>（20场）</w:t>
                  </w:r>
                </w:p>
              </w:tc>
              <w:tc>
                <w:tcPr>
                  <w:tcW w:type="dxa" w:w="398"/>
                </w:tcPr>
                <w:p>
                  <w:pPr>
                    <w:pStyle w:val="null3"/>
                  </w:pPr>
                  <w:r>
                    <w:rPr>
                      <w:rFonts w:ascii="仿宋_GB2312" w:hAnsi="仿宋_GB2312" w:cs="仿宋_GB2312" w:eastAsia="仿宋_GB2312"/>
                      <w:sz w:val="19"/>
                    </w:rPr>
                    <w:t>云招聘平台</w:t>
                  </w:r>
                </w:p>
              </w:tc>
              <w:tc>
                <w:tcPr>
                  <w:tcW w:type="dxa" w:w="398"/>
                </w:tcPr>
                <w:p>
                  <w:pPr>
                    <w:pStyle w:val="null3"/>
                  </w:pPr>
                  <w:r>
                    <w:rPr>
                      <w:rFonts w:ascii="仿宋_GB2312" w:hAnsi="仿宋_GB2312" w:cs="仿宋_GB2312" w:eastAsia="仿宋_GB2312"/>
                      <w:sz w:val="19"/>
                    </w:rPr>
                    <w:t>含直播网页搭建（求职者可通过手机或电脑收看直播回放）+直播互动（求职者观看期间可通过弹幕及评论进行互动）+简历投递（求职者可快速填写或导入个人简历，统计投递记录）并推流至本地知名媒体</w:t>
                  </w:r>
                </w:p>
              </w:tc>
              <w:tc>
                <w:tcPr>
                  <w:tcW w:type="dxa" w:w="398"/>
                </w:tcPr>
                <w:p>
                  <w:pPr>
                    <w:pStyle w:val="null3"/>
                  </w:pPr>
                  <w:r>
                    <w:rPr>
                      <w:rFonts w:ascii="仿宋_GB2312" w:hAnsi="仿宋_GB2312" w:cs="仿宋_GB2312" w:eastAsia="仿宋_GB2312"/>
                      <w:sz w:val="19"/>
                    </w:rPr>
                    <w:t>1</w:t>
                  </w:r>
                </w:p>
              </w:tc>
              <w:tc>
                <w:tcPr>
                  <w:tcW w:type="dxa" w:w="398"/>
                </w:tcPr>
                <w:p>
                  <w:pPr>
                    <w:pStyle w:val="null3"/>
                  </w:pPr>
                  <w:r>
                    <w:rPr>
                      <w:rFonts w:ascii="仿宋_GB2312" w:hAnsi="仿宋_GB2312" w:cs="仿宋_GB2312" w:eastAsia="仿宋_GB2312"/>
                      <w:sz w:val="19"/>
                    </w:rPr>
                    <w:t>套</w:t>
                  </w:r>
                </w:p>
              </w:tc>
              <w:tc>
                <w:tcPr>
                  <w:tcW w:type="dxa" w:w="398"/>
                </w:tcPr>
                <w:p>
                  <w:pPr>
                    <w:pStyle w:val="null3"/>
                  </w:pPr>
                  <w:r>
                    <w:rPr>
                      <w:rFonts w:ascii="仿宋_GB2312" w:hAnsi="仿宋_GB2312" w:cs="仿宋_GB2312" w:eastAsia="仿宋_GB2312"/>
                      <w:sz w:val="19"/>
                    </w:rPr>
                    <w:t>20</w:t>
                  </w:r>
                </w:p>
              </w:tc>
              <w:tc>
                <w:tcPr>
                  <w:tcW w:type="dxa" w:w="398"/>
                </w:tcPr>
                <w:p>
                  <w:pPr>
                    <w:pStyle w:val="null3"/>
                  </w:pPr>
                  <w:r>
                    <w:rPr>
                      <w:rFonts w:ascii="仿宋_GB2312" w:hAnsi="仿宋_GB2312" w:cs="仿宋_GB2312" w:eastAsia="仿宋_GB2312"/>
                      <w:sz w:val="19"/>
                    </w:rPr>
                    <w:t xml:space="preserve"> </w:t>
                  </w:r>
                </w:p>
              </w:tc>
              <w:tc>
                <w:tcPr>
                  <w:tcW w:type="dxa" w:w="398"/>
                </w:tcPr>
                <w:p>
                  <w:pPr>
                    <w:pStyle w:val="null3"/>
                  </w:pPr>
                  <w:r>
                    <w:rPr>
                      <w:rFonts w:ascii="仿宋_GB2312" w:hAnsi="仿宋_GB2312" w:cs="仿宋_GB2312" w:eastAsia="仿宋_GB2312"/>
                      <w:sz w:val="19"/>
                    </w:rPr>
                    <w:t xml:space="preserve"> </w:t>
                  </w:r>
                </w:p>
              </w:tc>
            </w:tr>
            <w:tr>
              <w:tc>
                <w:tcPr>
                  <w:tcW w:type="dxa" w:w="398"/>
                  <w:vMerge/>
                </w:tcPr>
                <w:p/>
              </w:tc>
              <w:tc>
                <w:tcPr>
                  <w:tcW w:type="dxa" w:w="398"/>
                </w:tcPr>
                <w:p>
                  <w:pPr>
                    <w:pStyle w:val="null3"/>
                  </w:pPr>
                  <w:r>
                    <w:rPr>
                      <w:rFonts w:ascii="仿宋_GB2312" w:hAnsi="仿宋_GB2312" w:cs="仿宋_GB2312" w:eastAsia="仿宋_GB2312"/>
                      <w:sz w:val="19"/>
                    </w:rPr>
                    <w:t>直播设备</w:t>
                  </w:r>
                </w:p>
              </w:tc>
              <w:tc>
                <w:tcPr>
                  <w:tcW w:type="dxa" w:w="398"/>
                </w:tcPr>
                <w:p>
                  <w:pPr>
                    <w:pStyle w:val="null3"/>
                  </w:pPr>
                  <w:r>
                    <w:rPr>
                      <w:rFonts w:ascii="仿宋_GB2312" w:hAnsi="仿宋_GB2312" w:cs="仿宋_GB2312" w:eastAsia="仿宋_GB2312"/>
                      <w:sz w:val="19"/>
                    </w:rPr>
                    <w:t>摄影机2台、导播台1套、补光灯、收音设备等</w:t>
                  </w:r>
                </w:p>
              </w:tc>
              <w:tc>
                <w:tcPr>
                  <w:tcW w:type="dxa" w:w="398"/>
                </w:tcPr>
                <w:p>
                  <w:pPr>
                    <w:pStyle w:val="null3"/>
                  </w:pPr>
                  <w:r>
                    <w:rPr>
                      <w:rFonts w:ascii="仿宋_GB2312" w:hAnsi="仿宋_GB2312" w:cs="仿宋_GB2312" w:eastAsia="仿宋_GB2312"/>
                      <w:sz w:val="19"/>
                    </w:rPr>
                    <w:t>1</w:t>
                  </w:r>
                </w:p>
              </w:tc>
              <w:tc>
                <w:tcPr>
                  <w:tcW w:type="dxa" w:w="398"/>
                </w:tcPr>
                <w:p>
                  <w:pPr>
                    <w:pStyle w:val="null3"/>
                  </w:pPr>
                  <w:r>
                    <w:rPr>
                      <w:rFonts w:ascii="仿宋_GB2312" w:hAnsi="仿宋_GB2312" w:cs="仿宋_GB2312" w:eastAsia="仿宋_GB2312"/>
                      <w:sz w:val="19"/>
                    </w:rPr>
                    <w:t>套</w:t>
                  </w:r>
                </w:p>
              </w:tc>
              <w:tc>
                <w:tcPr>
                  <w:tcW w:type="dxa" w:w="398"/>
                </w:tcPr>
                <w:p>
                  <w:pPr>
                    <w:pStyle w:val="null3"/>
                  </w:pPr>
                  <w:r>
                    <w:rPr>
                      <w:rFonts w:ascii="仿宋_GB2312" w:hAnsi="仿宋_GB2312" w:cs="仿宋_GB2312" w:eastAsia="仿宋_GB2312"/>
                      <w:sz w:val="19"/>
                    </w:rPr>
                    <w:t>20</w:t>
                  </w:r>
                </w:p>
              </w:tc>
              <w:tc>
                <w:tcPr>
                  <w:tcW w:type="dxa" w:w="398"/>
                </w:tcPr>
                <w:p>
                  <w:pPr>
                    <w:pStyle w:val="null3"/>
                  </w:pPr>
                  <w:r>
                    <w:rPr>
                      <w:rFonts w:ascii="仿宋_GB2312" w:hAnsi="仿宋_GB2312" w:cs="仿宋_GB2312" w:eastAsia="仿宋_GB2312"/>
                      <w:sz w:val="19"/>
                    </w:rPr>
                    <w:t>租赁，含运输、搭建及调试</w:t>
                  </w:r>
                </w:p>
              </w:tc>
              <w:tc>
                <w:tcPr>
                  <w:tcW w:type="dxa" w:w="398"/>
                </w:tcPr>
                <w:p>
                  <w:pPr>
                    <w:pStyle w:val="null3"/>
                  </w:pPr>
                  <w:r>
                    <w:rPr>
                      <w:rFonts w:ascii="仿宋_GB2312" w:hAnsi="仿宋_GB2312" w:cs="仿宋_GB2312" w:eastAsia="仿宋_GB2312"/>
                      <w:sz w:val="19"/>
                    </w:rPr>
                    <w:t xml:space="preserve"> </w:t>
                  </w:r>
                </w:p>
              </w:tc>
            </w:tr>
            <w:tr>
              <w:tc>
                <w:tcPr>
                  <w:tcW w:type="dxa" w:w="398"/>
                  <w:vMerge/>
                </w:tcPr>
                <w:p/>
              </w:tc>
              <w:tc>
                <w:tcPr>
                  <w:tcW w:type="dxa" w:w="398"/>
                </w:tcPr>
                <w:p>
                  <w:pPr>
                    <w:pStyle w:val="null3"/>
                  </w:pPr>
                  <w:r>
                    <w:rPr>
                      <w:rFonts w:ascii="仿宋_GB2312" w:hAnsi="仿宋_GB2312" w:cs="仿宋_GB2312" w:eastAsia="仿宋_GB2312"/>
                      <w:sz w:val="19"/>
                    </w:rPr>
                    <w:t>直播间背景板</w:t>
                  </w:r>
                </w:p>
              </w:tc>
              <w:tc>
                <w:tcPr>
                  <w:tcW w:type="dxa" w:w="398"/>
                </w:tcPr>
                <w:p>
                  <w:pPr>
                    <w:pStyle w:val="null3"/>
                  </w:pPr>
                  <w:r>
                    <w:rPr>
                      <w:rFonts w:ascii="仿宋_GB2312" w:hAnsi="仿宋_GB2312" w:cs="仿宋_GB2312" w:eastAsia="仿宋_GB2312"/>
                      <w:sz w:val="19"/>
                    </w:rPr>
                    <w:t>异形直播背景板制作及搭建</w:t>
                  </w:r>
                </w:p>
              </w:tc>
              <w:tc>
                <w:tcPr>
                  <w:tcW w:type="dxa" w:w="398"/>
                </w:tcPr>
                <w:p>
                  <w:pPr>
                    <w:pStyle w:val="null3"/>
                  </w:pPr>
                  <w:r>
                    <w:rPr>
                      <w:rFonts w:ascii="仿宋_GB2312" w:hAnsi="仿宋_GB2312" w:cs="仿宋_GB2312" w:eastAsia="仿宋_GB2312"/>
                      <w:sz w:val="19"/>
                    </w:rPr>
                    <w:t>1</w:t>
                  </w:r>
                </w:p>
              </w:tc>
              <w:tc>
                <w:tcPr>
                  <w:tcW w:type="dxa" w:w="398"/>
                </w:tcPr>
                <w:p>
                  <w:pPr>
                    <w:pStyle w:val="null3"/>
                  </w:pPr>
                  <w:r>
                    <w:rPr>
                      <w:rFonts w:ascii="仿宋_GB2312" w:hAnsi="仿宋_GB2312" w:cs="仿宋_GB2312" w:eastAsia="仿宋_GB2312"/>
                      <w:sz w:val="19"/>
                    </w:rPr>
                    <w:t>项</w:t>
                  </w:r>
                </w:p>
              </w:tc>
              <w:tc>
                <w:tcPr>
                  <w:tcW w:type="dxa" w:w="398"/>
                </w:tcPr>
                <w:p>
                  <w:pPr>
                    <w:pStyle w:val="null3"/>
                  </w:pPr>
                  <w:r>
                    <w:rPr>
                      <w:rFonts w:ascii="仿宋_GB2312" w:hAnsi="仿宋_GB2312" w:cs="仿宋_GB2312" w:eastAsia="仿宋_GB2312"/>
                      <w:sz w:val="19"/>
                    </w:rPr>
                    <w:t>1</w:t>
                  </w:r>
                </w:p>
              </w:tc>
              <w:tc>
                <w:tcPr>
                  <w:tcW w:type="dxa" w:w="398"/>
                </w:tcPr>
                <w:p>
                  <w:pPr>
                    <w:pStyle w:val="null3"/>
                  </w:pPr>
                  <w:r>
                    <w:rPr>
                      <w:rFonts w:ascii="仿宋_GB2312" w:hAnsi="仿宋_GB2312" w:cs="仿宋_GB2312" w:eastAsia="仿宋_GB2312"/>
                      <w:sz w:val="19"/>
                    </w:rPr>
                    <w:t xml:space="preserve"> </w:t>
                  </w:r>
                </w:p>
              </w:tc>
              <w:tc>
                <w:tcPr>
                  <w:tcW w:type="dxa" w:w="398"/>
                </w:tcPr>
                <w:p>
                  <w:pPr>
                    <w:pStyle w:val="null3"/>
                  </w:pPr>
                  <w:r>
                    <w:rPr>
                      <w:rFonts w:ascii="仿宋_GB2312" w:hAnsi="仿宋_GB2312" w:cs="仿宋_GB2312" w:eastAsia="仿宋_GB2312"/>
                      <w:sz w:val="19"/>
                    </w:rPr>
                    <w:t xml:space="preserve"> </w:t>
                  </w:r>
                </w:p>
              </w:tc>
            </w:tr>
            <w:tr>
              <w:tc>
                <w:tcPr>
                  <w:tcW w:type="dxa" w:w="398"/>
                  <w:vMerge/>
                </w:tcPr>
                <w:p/>
              </w:tc>
              <w:tc>
                <w:tcPr>
                  <w:tcW w:type="dxa" w:w="398"/>
                </w:tcPr>
                <w:p>
                  <w:pPr>
                    <w:pStyle w:val="null3"/>
                  </w:pPr>
                  <w:r>
                    <w:rPr>
                      <w:rFonts w:ascii="仿宋_GB2312" w:hAnsi="仿宋_GB2312" w:cs="仿宋_GB2312" w:eastAsia="仿宋_GB2312"/>
                      <w:sz w:val="19"/>
                    </w:rPr>
                    <w:t>直播物料设计制作</w:t>
                  </w:r>
                </w:p>
              </w:tc>
              <w:tc>
                <w:tcPr>
                  <w:tcW w:type="dxa" w:w="398"/>
                </w:tcPr>
                <w:p>
                  <w:pPr>
                    <w:pStyle w:val="null3"/>
                  </w:pPr>
                  <w:r>
                    <w:rPr>
                      <w:rFonts w:ascii="仿宋_GB2312" w:hAnsi="仿宋_GB2312" w:cs="仿宋_GB2312" w:eastAsia="仿宋_GB2312"/>
                      <w:sz w:val="19"/>
                    </w:rPr>
                    <w:t>含企业二维码展板、主持人手卡、麦标、桌牌、直播盒子等周边物料设计</w:t>
                  </w:r>
                </w:p>
              </w:tc>
              <w:tc>
                <w:tcPr>
                  <w:tcW w:type="dxa" w:w="398"/>
                </w:tcPr>
                <w:p>
                  <w:pPr>
                    <w:pStyle w:val="null3"/>
                  </w:pPr>
                  <w:r>
                    <w:rPr>
                      <w:rFonts w:ascii="仿宋_GB2312" w:hAnsi="仿宋_GB2312" w:cs="仿宋_GB2312" w:eastAsia="仿宋_GB2312"/>
                      <w:sz w:val="19"/>
                    </w:rPr>
                    <w:t>1</w:t>
                  </w:r>
                </w:p>
              </w:tc>
              <w:tc>
                <w:tcPr>
                  <w:tcW w:type="dxa" w:w="398"/>
                </w:tcPr>
                <w:p>
                  <w:pPr>
                    <w:pStyle w:val="null3"/>
                  </w:pPr>
                  <w:r>
                    <w:rPr>
                      <w:rFonts w:ascii="仿宋_GB2312" w:hAnsi="仿宋_GB2312" w:cs="仿宋_GB2312" w:eastAsia="仿宋_GB2312"/>
                      <w:sz w:val="19"/>
                    </w:rPr>
                    <w:t>套</w:t>
                  </w:r>
                </w:p>
              </w:tc>
              <w:tc>
                <w:tcPr>
                  <w:tcW w:type="dxa" w:w="398"/>
                </w:tcPr>
                <w:p>
                  <w:pPr>
                    <w:pStyle w:val="null3"/>
                  </w:pPr>
                  <w:r>
                    <w:rPr>
                      <w:rFonts w:ascii="仿宋_GB2312" w:hAnsi="仿宋_GB2312" w:cs="仿宋_GB2312" w:eastAsia="仿宋_GB2312"/>
                      <w:sz w:val="19"/>
                    </w:rPr>
                    <w:t>20</w:t>
                  </w:r>
                </w:p>
              </w:tc>
              <w:tc>
                <w:tcPr>
                  <w:tcW w:type="dxa" w:w="398"/>
                </w:tcPr>
                <w:p>
                  <w:pPr>
                    <w:pStyle w:val="null3"/>
                  </w:pPr>
                  <w:r>
                    <w:rPr>
                      <w:rFonts w:ascii="仿宋_GB2312" w:hAnsi="仿宋_GB2312" w:cs="仿宋_GB2312" w:eastAsia="仿宋_GB2312"/>
                      <w:sz w:val="19"/>
                    </w:rPr>
                    <w:t xml:space="preserve"> </w:t>
                  </w:r>
                </w:p>
              </w:tc>
              <w:tc>
                <w:tcPr>
                  <w:tcW w:type="dxa" w:w="398"/>
                </w:tcPr>
                <w:p>
                  <w:pPr>
                    <w:pStyle w:val="null3"/>
                  </w:pPr>
                  <w:r>
                    <w:rPr>
                      <w:rFonts w:ascii="仿宋_GB2312" w:hAnsi="仿宋_GB2312" w:cs="仿宋_GB2312" w:eastAsia="仿宋_GB2312"/>
                      <w:sz w:val="19"/>
                    </w:rPr>
                    <w:t xml:space="preserve"> </w:t>
                  </w:r>
                </w:p>
              </w:tc>
            </w:tr>
            <w:tr>
              <w:tc>
                <w:tcPr>
                  <w:tcW w:type="dxa" w:w="398"/>
                  <w:vMerge/>
                </w:tcPr>
                <w:p/>
              </w:tc>
              <w:tc>
                <w:tcPr>
                  <w:tcW w:type="dxa" w:w="398"/>
                </w:tcPr>
                <w:p>
                  <w:pPr>
                    <w:pStyle w:val="null3"/>
                  </w:pPr>
                  <w:r>
                    <w:rPr>
                      <w:rFonts w:ascii="仿宋_GB2312" w:hAnsi="仿宋_GB2312" w:cs="仿宋_GB2312" w:eastAsia="仿宋_GB2312"/>
                      <w:sz w:val="19"/>
                    </w:rPr>
                    <w:t>主持人</w:t>
                  </w:r>
                </w:p>
              </w:tc>
              <w:tc>
                <w:tcPr>
                  <w:tcW w:type="dxa" w:w="398"/>
                </w:tcPr>
                <w:p>
                  <w:pPr>
                    <w:pStyle w:val="null3"/>
                  </w:pPr>
                  <w:r>
                    <w:rPr>
                      <w:rFonts w:ascii="仿宋_GB2312" w:hAnsi="仿宋_GB2312" w:cs="仿宋_GB2312" w:eastAsia="仿宋_GB2312"/>
                      <w:sz w:val="19"/>
                    </w:rPr>
                    <w:t>专业直播带岗主持人</w:t>
                  </w:r>
                </w:p>
              </w:tc>
              <w:tc>
                <w:tcPr>
                  <w:tcW w:type="dxa" w:w="398"/>
                </w:tcPr>
                <w:p>
                  <w:pPr>
                    <w:pStyle w:val="null3"/>
                  </w:pPr>
                  <w:r>
                    <w:rPr>
                      <w:rFonts w:ascii="仿宋_GB2312" w:hAnsi="仿宋_GB2312" w:cs="仿宋_GB2312" w:eastAsia="仿宋_GB2312"/>
                      <w:sz w:val="19"/>
                    </w:rPr>
                    <w:t>1</w:t>
                  </w:r>
                </w:p>
              </w:tc>
              <w:tc>
                <w:tcPr>
                  <w:tcW w:type="dxa" w:w="398"/>
                </w:tcPr>
                <w:p>
                  <w:pPr>
                    <w:pStyle w:val="null3"/>
                  </w:pPr>
                  <w:r>
                    <w:rPr>
                      <w:rFonts w:ascii="仿宋_GB2312" w:hAnsi="仿宋_GB2312" w:cs="仿宋_GB2312" w:eastAsia="仿宋_GB2312"/>
                      <w:sz w:val="19"/>
                    </w:rPr>
                    <w:t>人</w:t>
                  </w:r>
                </w:p>
              </w:tc>
              <w:tc>
                <w:tcPr>
                  <w:tcW w:type="dxa" w:w="398"/>
                </w:tcPr>
                <w:p>
                  <w:pPr>
                    <w:pStyle w:val="null3"/>
                  </w:pPr>
                  <w:r>
                    <w:rPr>
                      <w:rFonts w:ascii="仿宋_GB2312" w:hAnsi="仿宋_GB2312" w:cs="仿宋_GB2312" w:eastAsia="仿宋_GB2312"/>
                      <w:sz w:val="19"/>
                    </w:rPr>
                    <w:t>20</w:t>
                  </w:r>
                </w:p>
              </w:tc>
              <w:tc>
                <w:tcPr>
                  <w:tcW w:type="dxa" w:w="398"/>
                </w:tcPr>
                <w:p>
                  <w:pPr>
                    <w:pStyle w:val="null3"/>
                  </w:pPr>
                  <w:r>
                    <w:rPr>
                      <w:rFonts w:ascii="仿宋_GB2312" w:hAnsi="仿宋_GB2312" w:cs="仿宋_GB2312" w:eastAsia="仿宋_GB2312"/>
                      <w:sz w:val="19"/>
                    </w:rPr>
                    <w:t xml:space="preserve"> </w:t>
                  </w:r>
                </w:p>
              </w:tc>
              <w:tc>
                <w:tcPr>
                  <w:tcW w:type="dxa" w:w="398"/>
                </w:tcPr>
                <w:p>
                  <w:pPr>
                    <w:pStyle w:val="null3"/>
                  </w:pPr>
                  <w:r>
                    <w:rPr>
                      <w:rFonts w:ascii="仿宋_GB2312" w:hAnsi="仿宋_GB2312" w:cs="仿宋_GB2312" w:eastAsia="仿宋_GB2312"/>
                      <w:sz w:val="19"/>
                    </w:rPr>
                    <w:t xml:space="preserve"> </w:t>
                  </w:r>
                </w:p>
              </w:tc>
            </w:tr>
          </w:tbl>
          <w:p>
            <w:pPr>
              <w:pStyle w:val="null3"/>
            </w:pPr>
            <w:r>
              <w:rPr>
                <w:rFonts w:ascii="仿宋_GB2312" w:hAnsi="仿宋_GB2312" w:cs="仿宋_GB2312" w:eastAsia="仿宋_GB2312"/>
              </w:rPr>
              <w:t>五、其他要求</w:t>
            </w:r>
          </w:p>
          <w:p>
            <w:pPr>
              <w:pStyle w:val="null3"/>
            </w:pPr>
            <w:r>
              <w:rPr>
                <w:rFonts w:ascii="仿宋_GB2312" w:hAnsi="仿宋_GB2312" w:cs="仿宋_GB2312" w:eastAsia="仿宋_GB2312"/>
              </w:rPr>
              <w:t>（一）与活动有关的设计产品（含源文件）、数据资料和分析成果所有权归采购人所有。</w:t>
            </w:r>
          </w:p>
          <w:p>
            <w:pPr>
              <w:pStyle w:val="null3"/>
            </w:pPr>
            <w:r>
              <w:rPr>
                <w:rFonts w:ascii="仿宋_GB2312" w:hAnsi="仿宋_GB2312" w:cs="仿宋_GB2312" w:eastAsia="仿宋_GB2312"/>
              </w:rPr>
              <w:t>（二）采购人将按工作要求分阶段进行采购项目的检查验收，如果发现与采购要求不符或与中标文件不符等问题，成交供应商应当按要求采取补救处理措施，并承担相关质量保证责任。若活动结束时仍未按采购要求完成补救处理的，采购人将按未落实项目扣除相应费用。</w:t>
            </w:r>
          </w:p>
          <w:p>
            <w:pPr>
              <w:pStyle w:val="null3"/>
            </w:pPr>
            <w:r>
              <w:rPr>
                <w:rFonts w:ascii="仿宋_GB2312" w:hAnsi="仿宋_GB2312" w:cs="仿宋_GB2312" w:eastAsia="仿宋_GB2312"/>
              </w:rPr>
              <w:t>（三）对于在活动筹备、执行期间突发且与工作有关的相关内容，但未在磋商文件中体现与明确的，成交供应商有义务配合采购人开展相关工作。</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按项目需求配置，最终人员数量以采购人根据活动实际情况要求的数量为准，供应商应充分考虑。</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按项目需求配置，最终设施设备要求以采购人根据活动实际情况的要求为准，供应商应充分考虑。</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7月-11月于每周固定时间、固定直播间持续开展直播活动，共计20场。</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西安市人才服务中心指定地点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所有服务完成前期部署且经采购人确认后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所有服务提供完毕且经采购人验收合格后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6月1日以来至少一个月的纳税证明或完税证明，纳税证明或完税证明上应有代收机构或税务机关的公章或业务专用章；其他组织和自然人提供自2024年6月1日以来至少一个月缴纳税收的凭据；依法免税的或者依法不需缴税的供应商应提供相关文件证明； ③社会保障资金缴纳证明：提供自2024年6月1日以来至少一个月已缴纳的社会保障资金的证明（社会保障资金缴存单据或社保机构开具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有效的2023年度或2024年度审计报告（成立时间至提交响应文件截止时间不足一年的可提供成立后任意时段的资产负债表），或提交自2024年12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响应函 3资格证明文件.docx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法定代表人授权委托书：法定代表人参加磋商的，须提供身份证；法定代表人授权本单位他人参加磋商的，须提供法定代表人授权委托书。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不接受联合体磋商，不允许分包</w:t>
            </w:r>
          </w:p>
        </w:tc>
        <w:tc>
          <w:tcPr>
            <w:tcW w:type="dxa" w:w="3322"/>
          </w:tcPr>
          <w:p>
            <w:pPr>
              <w:pStyle w:val="null3"/>
            </w:pPr>
            <w:r>
              <w:rPr>
                <w:rFonts w:ascii="仿宋_GB2312" w:hAnsi="仿宋_GB2312" w:cs="仿宋_GB2312" w:eastAsia="仿宋_GB2312"/>
              </w:rPr>
              <w:t>不接受联合体磋商，不允许分包：本项目不接受联合体磋商，不允许分包。供应商应提供《非联合体不分包投标声明》。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3资格证明文件.docx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1分项价格表.docx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磋商处理：(1)磋商响应文件未按照磋商文件规定要求签署、盖章的；(2)不满足本磋商文件中“服务期限、服务地点、采购资金的支付方式及约定”的实质性条款要求的；(3)文件有效期不足的或无有效期的；(4)报价超过磋商文件中规定预算金额或最高限价的；(5)法律、法规和磋商文件规定的其他无效情形。</w:t>
            </w:r>
          </w:p>
        </w:tc>
        <w:tc>
          <w:tcPr>
            <w:tcW w:type="dxa" w:w="1661"/>
          </w:tcPr>
          <w:p>
            <w:pPr>
              <w:pStyle w:val="null3"/>
            </w:pPr>
            <w:r>
              <w:rPr>
                <w:rFonts w:ascii="仿宋_GB2312" w:hAnsi="仿宋_GB2312" w:cs="仿宋_GB2312" w:eastAsia="仿宋_GB2312"/>
              </w:rPr>
              <w:t>响应文件封面 4承诺书.docx 中小企业声明函 残疾人福利性单位声明函 5服务响应偏离表.docx 标的清单 1分项价格表.docx 2商务部分偏离表.docx 报价表 响应函 3资格证明文件.docx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总体设计</w:t>
            </w:r>
          </w:p>
        </w:tc>
        <w:tc>
          <w:tcPr>
            <w:tcW w:type="dxa" w:w="2492"/>
          </w:tcPr>
          <w:p>
            <w:pPr>
              <w:pStyle w:val="null3"/>
            </w:pPr>
            <w:r>
              <w:rPr>
                <w:rFonts w:ascii="仿宋_GB2312" w:hAnsi="仿宋_GB2312" w:cs="仿宋_GB2312" w:eastAsia="仿宋_GB2312"/>
              </w:rPr>
              <w:t>对本项目的工作内容理解清晰、总体设计思路全面。能清楚描述本次工作任务目标，对项目把握准确，重点突出，技术建议叙述完整合理。 满足磋商文件要求，无瑕疵：10分； 方案内容存在1处瑕疵：8分； 方案内容存在2处瑕疵：6分； 方案内容存在3处瑕疵：4分； 方案内容存在4处瑕疵：2分； 未提供或不满足磋商文件要求或内容存在5处及以上瑕疵：0分。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本表所有对于瑕疵定义的内容“同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6总体设计.docx</w:t>
            </w:r>
          </w:p>
        </w:tc>
      </w:tr>
      <w:tr>
        <w:tc>
          <w:tcPr>
            <w:tcW w:type="dxa" w:w="831"/>
            <w:vMerge/>
          </w:tcPr>
          <w:p/>
        </w:tc>
        <w:tc>
          <w:tcPr>
            <w:tcW w:type="dxa" w:w="1661"/>
          </w:tcPr>
          <w:p>
            <w:pPr>
              <w:pStyle w:val="null3"/>
            </w:pPr>
            <w:r>
              <w:rPr>
                <w:rFonts w:ascii="仿宋_GB2312" w:hAnsi="仿宋_GB2312" w:cs="仿宋_GB2312" w:eastAsia="仿宋_GB2312"/>
              </w:rPr>
              <w:t>组织实施方案</w:t>
            </w:r>
          </w:p>
        </w:tc>
        <w:tc>
          <w:tcPr>
            <w:tcW w:type="dxa" w:w="2492"/>
          </w:tcPr>
          <w:p>
            <w:pPr>
              <w:pStyle w:val="null3"/>
            </w:pPr>
            <w:r>
              <w:rPr>
                <w:rFonts w:ascii="仿宋_GB2312" w:hAnsi="仿宋_GB2312" w:cs="仿宋_GB2312" w:eastAsia="仿宋_GB2312"/>
              </w:rPr>
              <w:t>针对本项目有具体的组织实施方案，包含前期勘查设计、各场直播活动时间节点安排及平台搭建等，方案详细完整，合理科学。 满足磋商文件要求，无瑕疵：12分； 方案内容存在1处瑕疵：10分； 方案内容存在2处瑕疵：8分； 方案内容存在3处瑕疵：6分； 方案内容存在4处瑕疵：4分； 方案内容存在5处瑕疵：2分； 未提供或不满足磋商文件要求或内容存在6处及以上瑕疵：0分。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7组织实施方案.docx</w:t>
            </w:r>
          </w:p>
        </w:tc>
      </w:tr>
      <w:tr>
        <w:tc>
          <w:tcPr>
            <w:tcW w:type="dxa" w:w="831"/>
            <w:vMerge/>
          </w:tcPr>
          <w:p/>
        </w:tc>
        <w:tc>
          <w:tcPr>
            <w:tcW w:type="dxa" w:w="1661"/>
          </w:tcPr>
          <w:p>
            <w:pPr>
              <w:pStyle w:val="null3"/>
            </w:pPr>
            <w:r>
              <w:rPr>
                <w:rFonts w:ascii="仿宋_GB2312" w:hAnsi="仿宋_GB2312" w:cs="仿宋_GB2312" w:eastAsia="仿宋_GB2312"/>
              </w:rPr>
              <w:t>直播技术方案</w:t>
            </w:r>
          </w:p>
        </w:tc>
        <w:tc>
          <w:tcPr>
            <w:tcW w:type="dxa" w:w="2492"/>
          </w:tcPr>
          <w:p>
            <w:pPr>
              <w:pStyle w:val="null3"/>
            </w:pPr>
            <w:r>
              <w:rPr>
                <w:rFonts w:ascii="仿宋_GB2312" w:hAnsi="仿宋_GB2312" w:cs="仿宋_GB2312" w:eastAsia="仿宋_GB2312"/>
              </w:rPr>
              <w:t>直播活动须配套网络招聘会平台搭建，视频面试系统，客户端网页设计，后台搭建及管控，网络招聘会页面设计，且须提供全程网络技术支持及招聘数据报告等。供应商对平台建设需求分析的理解全面、技术方案完整、规范、合理、可行。 满足磋商文件要求，无瑕疵：10分； 方案内容存在1处瑕疵：8分； 方案内容存在2处瑕疵：6分； 方案内容存在3处瑕疵：4分； 方案内容存在4处瑕疵：2分； 未提供或不满足磋商文件要求或内容存在5处及以上瑕疵：0分。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8直播技术方案.docx</w:t>
            </w:r>
          </w:p>
        </w:tc>
      </w:tr>
      <w:tr>
        <w:tc>
          <w:tcPr>
            <w:tcW w:type="dxa" w:w="831"/>
            <w:vMerge/>
          </w:tcPr>
          <w:p/>
        </w:tc>
        <w:tc>
          <w:tcPr>
            <w:tcW w:type="dxa" w:w="1661"/>
          </w:tcPr>
          <w:p>
            <w:pPr>
              <w:pStyle w:val="null3"/>
            </w:pPr>
            <w:r>
              <w:rPr>
                <w:rFonts w:ascii="仿宋_GB2312" w:hAnsi="仿宋_GB2312" w:cs="仿宋_GB2312" w:eastAsia="仿宋_GB2312"/>
              </w:rPr>
              <w:t>参与方案</w:t>
            </w:r>
          </w:p>
        </w:tc>
        <w:tc>
          <w:tcPr>
            <w:tcW w:type="dxa" w:w="2492"/>
          </w:tcPr>
          <w:p>
            <w:pPr>
              <w:pStyle w:val="null3"/>
            </w:pPr>
            <w:r>
              <w:rPr>
                <w:rFonts w:ascii="仿宋_GB2312" w:hAnsi="仿宋_GB2312" w:cs="仿宋_GB2312" w:eastAsia="仿宋_GB2312"/>
              </w:rPr>
              <w:t>针对本项目参与渠道、流程及版块设置方案。方案详细完整，合理科学。 满足磋商文件要求，无瑕疵：5分； 方案内容存在1处瑕疵：4分； 方案内容存在2处瑕疵：3分； 方案内容存在3处瑕疵：2分； 方案内容存在4处瑕疵：1分； 未提供或不满足磋商文件要求或内容存在5处及以上瑕疵：0分。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9参与方案.docx</w:t>
            </w:r>
          </w:p>
        </w:tc>
      </w:tr>
      <w:tr>
        <w:tc>
          <w:tcPr>
            <w:tcW w:type="dxa" w:w="831"/>
            <w:vMerge/>
          </w:tcPr>
          <w:p/>
        </w:tc>
        <w:tc>
          <w:tcPr>
            <w:tcW w:type="dxa" w:w="1661"/>
          </w:tcPr>
          <w:p>
            <w:pPr>
              <w:pStyle w:val="null3"/>
            </w:pPr>
            <w:r>
              <w:rPr>
                <w:rFonts w:ascii="仿宋_GB2312" w:hAnsi="仿宋_GB2312" w:cs="仿宋_GB2312" w:eastAsia="仿宋_GB2312"/>
              </w:rPr>
              <w:t>设备设施配置</w:t>
            </w:r>
          </w:p>
        </w:tc>
        <w:tc>
          <w:tcPr>
            <w:tcW w:type="dxa" w:w="2492"/>
          </w:tcPr>
          <w:p>
            <w:pPr>
              <w:pStyle w:val="null3"/>
            </w:pPr>
            <w:r>
              <w:rPr>
                <w:rFonts w:ascii="仿宋_GB2312" w:hAnsi="仿宋_GB2312" w:cs="仿宋_GB2312" w:eastAsia="仿宋_GB2312"/>
              </w:rPr>
              <w:t>提供直播间布展拟配备的设施及所需产品的详细清单，内容完整齐全。 满足磋商文件要求，无瑕疵：8分； 方案内容存在1处瑕疵：7分； 方案内容存在2处瑕疵：6分； 方案内容存在3处瑕疵：5分； 方案内容存在4处瑕疵：4分； 方案内容存在5处瑕疵：3分； 方案内容存在6处瑕疵：2分； 方案内容存在7处瑕疵：1分； 未提供或不满足磋商文件要求或内容存在8处及以上瑕疵：0分。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10设备设施配置.docx</w:t>
            </w:r>
          </w:p>
        </w:tc>
      </w:tr>
      <w:tr>
        <w:tc>
          <w:tcPr>
            <w:tcW w:type="dxa" w:w="831"/>
            <w:vMerge/>
          </w:tcPr>
          <w:p/>
        </w:tc>
        <w:tc>
          <w:tcPr>
            <w:tcW w:type="dxa" w:w="1661"/>
          </w:tcPr>
          <w:p>
            <w:pPr>
              <w:pStyle w:val="null3"/>
            </w:pPr>
            <w:r>
              <w:rPr>
                <w:rFonts w:ascii="仿宋_GB2312" w:hAnsi="仿宋_GB2312" w:cs="仿宋_GB2312" w:eastAsia="仿宋_GB2312"/>
              </w:rPr>
              <w:t>现场服务方案</w:t>
            </w:r>
          </w:p>
        </w:tc>
        <w:tc>
          <w:tcPr>
            <w:tcW w:type="dxa" w:w="2492"/>
          </w:tcPr>
          <w:p>
            <w:pPr>
              <w:pStyle w:val="null3"/>
            </w:pPr>
            <w:r>
              <w:rPr>
                <w:rFonts w:ascii="仿宋_GB2312" w:hAnsi="仿宋_GB2312" w:cs="仿宋_GB2312" w:eastAsia="仿宋_GB2312"/>
              </w:rPr>
              <w:t>提供本项目在活动筹备、举办期间的现场服务方案。方案详细完整，合理科学。 满足磋商文件要求，无瑕疵：5分； 方案内容存在1处瑕疵：4分； 方案内容存在2处瑕疵：3分； 方案内容存在3处瑕疵：2分； 方案内容存在4处瑕疵：1分； 未提供或不满足磋商文件要求或内容存在5处及以上瑕疵：0分。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11现场服务方案.docx</w:t>
            </w:r>
          </w:p>
        </w:tc>
      </w:tr>
      <w:tr>
        <w:tc>
          <w:tcPr>
            <w:tcW w:type="dxa" w:w="831"/>
            <w:vMerge/>
          </w:tcPr>
          <w:p/>
        </w:tc>
        <w:tc>
          <w:tcPr>
            <w:tcW w:type="dxa" w:w="1661"/>
          </w:tcPr>
          <w:p>
            <w:pPr>
              <w:pStyle w:val="null3"/>
            </w:pPr>
            <w:r>
              <w:rPr>
                <w:rFonts w:ascii="仿宋_GB2312" w:hAnsi="仿宋_GB2312" w:cs="仿宋_GB2312" w:eastAsia="仿宋_GB2312"/>
              </w:rPr>
              <w:t>安全及撤场方案</w:t>
            </w:r>
          </w:p>
        </w:tc>
        <w:tc>
          <w:tcPr>
            <w:tcW w:type="dxa" w:w="2492"/>
          </w:tcPr>
          <w:p>
            <w:pPr>
              <w:pStyle w:val="null3"/>
            </w:pPr>
            <w:r>
              <w:rPr>
                <w:rFonts w:ascii="仿宋_GB2312" w:hAnsi="仿宋_GB2312" w:cs="仿宋_GB2312" w:eastAsia="仿宋_GB2312"/>
              </w:rPr>
              <w:t>提供安全责任承诺书，保证采购人在项目实施前期、实施过程中及实施完成后无任何安全隐患；提供直播间现场安全保障及结束后的卫生保洁工作措施方案。 满足磋商文件要求，无瑕疵：5分； 方案内容存在1处瑕疵：4分； 方案内容存在2处瑕疵：3分； 方案内容存在3处瑕疵：2分； 方案内容存在4处瑕疵：1分； 未提供或不满足磋商文件要求或内容存在5处及以上瑕疵：0分。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12安全及撤场方案.docx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针对本项目可能发生突发事件的应急方案及措施。方案及措施详细完整，可操作性强。 满足磋商文件要求，无瑕疵：5分； 方案内容存在1处瑕疵：4分； 方案内容存在2处瑕疵：3分； 方案内容存在3处瑕疵：2分； 方案内容存在4处瑕疵：1分； 未提供或不满足磋商文件要求或内容存在5处及以上瑕疵：0分。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13应急方案.docx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有丰富的相关领域工作经验或者曾承担过相关工作的主要负责人（须提供业绩证明材料，项目负责人的业绩与供应商的业绩不重复计分）；项目负责人具有较强的专业能力，磋商小组根据投入本项目负责人的专业程度、工作年限、工作经验进行赋分。 满足磋商文件要求，无瑕疵：5分； 负责人情况存在1处瑕疵：4分； 负责人情况存在2处瑕疵：3分； 负责人情况存在3处瑕疵：2分； 负责人情况存在4处瑕疵：1分； 未提供或不满足磋商文件要求或内容存在5处及以上瑕疵：0分。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14项目负责人.docx</w:t>
            </w:r>
          </w:p>
        </w:tc>
      </w:tr>
      <w:tr>
        <w:tc>
          <w:tcPr>
            <w:tcW w:type="dxa" w:w="831"/>
            <w:vMerge/>
          </w:tcPr>
          <w:p/>
        </w:tc>
        <w:tc>
          <w:tcPr>
            <w:tcW w:type="dxa" w:w="1661"/>
          </w:tcPr>
          <w:p>
            <w:pPr>
              <w:pStyle w:val="null3"/>
            </w:pPr>
            <w:r>
              <w:rPr>
                <w:rFonts w:ascii="仿宋_GB2312" w:hAnsi="仿宋_GB2312" w:cs="仿宋_GB2312" w:eastAsia="仿宋_GB2312"/>
              </w:rPr>
              <w:t>执行团队</w:t>
            </w:r>
          </w:p>
        </w:tc>
        <w:tc>
          <w:tcPr>
            <w:tcW w:type="dxa" w:w="2492"/>
          </w:tcPr>
          <w:p>
            <w:pPr>
              <w:pStyle w:val="null3"/>
            </w:pPr>
            <w:r>
              <w:rPr>
                <w:rFonts w:ascii="仿宋_GB2312" w:hAnsi="仿宋_GB2312" w:cs="仿宋_GB2312" w:eastAsia="仿宋_GB2312"/>
              </w:rPr>
              <w:t>有专业的策划、宣传服务和执行团队；拟派项目团队人员数量及专业安排合理、岗位职责明确清晰。 满足磋商文件要求，无瑕疵：6分； 执行团队情况存在1处瑕疵：5分； 执行团队情况存在2处瑕疵：4分； 执行团队情况存在3处瑕疵：3分； 执行团队情况存在4处瑕疵：2分； 执行团队情况存在5处瑕疵：1分； 未提供或不满足磋商文件要求或内容存在6处及以上瑕疵：0分。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15执行团队.docx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供应商针对本项目提供切实可行的保密措施及承诺，对其所获取的信息保密，保密措施完善，承诺满足项目需求。 满足磋商文件要求，无瑕疵：3分； 执行团队情况存在1处瑕疵：2分； 执行团队情况存在2处瑕疵：1分； 未提供或不满足磋商文件要求或内容存在3处及以上瑕疵：0分。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16保密措施.docx</w:t>
            </w:r>
          </w:p>
        </w:tc>
      </w:tr>
      <w:tr>
        <w:tc>
          <w:tcPr>
            <w:tcW w:type="dxa" w:w="831"/>
            <w:vMerge/>
          </w:tcPr>
          <w:p/>
        </w:tc>
        <w:tc>
          <w:tcPr>
            <w:tcW w:type="dxa" w:w="1661"/>
          </w:tcPr>
          <w:p>
            <w:pPr>
              <w:pStyle w:val="null3"/>
            </w:pPr>
            <w:r>
              <w:rPr>
                <w:rFonts w:ascii="仿宋_GB2312" w:hAnsi="仿宋_GB2312" w:cs="仿宋_GB2312" w:eastAsia="仿宋_GB2312"/>
              </w:rPr>
              <w:t>平台情况</w:t>
            </w:r>
          </w:p>
        </w:tc>
        <w:tc>
          <w:tcPr>
            <w:tcW w:type="dxa" w:w="2492"/>
          </w:tcPr>
          <w:p>
            <w:pPr>
              <w:pStyle w:val="null3"/>
            </w:pPr>
            <w:r>
              <w:rPr>
                <w:rFonts w:ascii="仿宋_GB2312" w:hAnsi="仿宋_GB2312" w:cs="仿宋_GB2312" w:eastAsia="仿宋_GB2312"/>
              </w:rPr>
              <w:t>供应商拥有自有的网络招聘平台，可提供在线网络招聘会服务且具有自有人才库（提供相关证明材料）计2分。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17平台情况.docx</w:t>
            </w:r>
          </w:p>
        </w:tc>
      </w:tr>
      <w:tr>
        <w:tc>
          <w:tcPr>
            <w:tcW w:type="dxa" w:w="831"/>
            <w:vMerge/>
          </w:tcPr>
          <w:p/>
        </w:tc>
        <w:tc>
          <w:tcPr>
            <w:tcW w:type="dxa" w:w="1661"/>
          </w:tcPr>
          <w:p>
            <w:pPr>
              <w:pStyle w:val="null3"/>
            </w:pPr>
            <w:r>
              <w:rPr>
                <w:rFonts w:ascii="仿宋_GB2312" w:hAnsi="仿宋_GB2312" w:cs="仿宋_GB2312" w:eastAsia="仿宋_GB2312"/>
              </w:rPr>
              <w:t>措施承诺</w:t>
            </w:r>
          </w:p>
        </w:tc>
        <w:tc>
          <w:tcPr>
            <w:tcW w:type="dxa" w:w="2492"/>
          </w:tcPr>
          <w:p>
            <w:pPr>
              <w:pStyle w:val="null3"/>
            </w:pPr>
            <w:r>
              <w:rPr>
                <w:rFonts w:ascii="仿宋_GB2312" w:hAnsi="仿宋_GB2312" w:cs="仿宋_GB2312" w:eastAsia="仿宋_GB2312"/>
              </w:rPr>
              <w:t>供应商提出有利于采购人降低会务成本及提高服务质量的措施承诺，经磋商小组一致认定切实可行，每提供一项计1分，满分2分。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18措施承诺.docx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提供2020年至今同类项目业绩，投标文件中附有其合同或中标通知书作为证明文件，每提供一个业绩证明材料计2分，满分10分。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19业绩.docx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承诺与活动有关的设计产品（含源文件）、数据资料和分析成果所有权归采购人所有计1分； 针对本项目有良好、积极的工作态度，能够在会务现场及时配合采购人的工作并做出承诺计1分。本项满分2分。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20服务承诺.docx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价格分统一采用低价优先法计算，即满足磋商文件要求且响应价格最低的磋商报价为评标基准价，其价格分为满分。其他供应商的价格分统一按照下列公式计算：价格分= (评标基准价／磋商报价)×报价分值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详见附件：5服务响应偏离表.docx</w:t>
      </w:r>
    </w:p>
    <w:p>
      <w:pPr>
        <w:pStyle w:val="null3"/>
        <w:ind w:firstLine="960"/>
      </w:pPr>
      <w:r>
        <w:rPr>
          <w:rFonts w:ascii="仿宋_GB2312" w:hAnsi="仿宋_GB2312" w:cs="仿宋_GB2312" w:eastAsia="仿宋_GB2312"/>
        </w:rPr>
        <w:t>详见附件：6总体设计.docx</w:t>
      </w:r>
    </w:p>
    <w:p>
      <w:pPr>
        <w:pStyle w:val="null3"/>
        <w:ind w:firstLine="960"/>
      </w:pPr>
      <w:r>
        <w:rPr>
          <w:rFonts w:ascii="仿宋_GB2312" w:hAnsi="仿宋_GB2312" w:cs="仿宋_GB2312" w:eastAsia="仿宋_GB2312"/>
        </w:rPr>
        <w:t>详见附件：7组织实施方案.docx</w:t>
      </w:r>
    </w:p>
    <w:p>
      <w:pPr>
        <w:pStyle w:val="null3"/>
        <w:ind w:firstLine="960"/>
      </w:pPr>
      <w:r>
        <w:rPr>
          <w:rFonts w:ascii="仿宋_GB2312" w:hAnsi="仿宋_GB2312" w:cs="仿宋_GB2312" w:eastAsia="仿宋_GB2312"/>
        </w:rPr>
        <w:t>详见附件：8直播技术方案.docx</w:t>
      </w:r>
    </w:p>
    <w:p>
      <w:pPr>
        <w:pStyle w:val="null3"/>
        <w:ind w:firstLine="960"/>
      </w:pPr>
      <w:r>
        <w:rPr>
          <w:rFonts w:ascii="仿宋_GB2312" w:hAnsi="仿宋_GB2312" w:cs="仿宋_GB2312" w:eastAsia="仿宋_GB2312"/>
        </w:rPr>
        <w:t>详见附件：9参与方案.docx</w:t>
      </w:r>
    </w:p>
    <w:p>
      <w:pPr>
        <w:pStyle w:val="null3"/>
        <w:ind w:firstLine="960"/>
      </w:pPr>
      <w:r>
        <w:rPr>
          <w:rFonts w:ascii="仿宋_GB2312" w:hAnsi="仿宋_GB2312" w:cs="仿宋_GB2312" w:eastAsia="仿宋_GB2312"/>
        </w:rPr>
        <w:t>详见附件：10设备设施配置.docx</w:t>
      </w:r>
    </w:p>
    <w:p>
      <w:pPr>
        <w:pStyle w:val="null3"/>
        <w:ind w:firstLine="960"/>
      </w:pPr>
      <w:r>
        <w:rPr>
          <w:rFonts w:ascii="仿宋_GB2312" w:hAnsi="仿宋_GB2312" w:cs="仿宋_GB2312" w:eastAsia="仿宋_GB2312"/>
        </w:rPr>
        <w:t>详见附件：11现场服务方案.docx</w:t>
      </w:r>
    </w:p>
    <w:p>
      <w:pPr>
        <w:pStyle w:val="null3"/>
        <w:ind w:firstLine="960"/>
      </w:pPr>
      <w:r>
        <w:rPr>
          <w:rFonts w:ascii="仿宋_GB2312" w:hAnsi="仿宋_GB2312" w:cs="仿宋_GB2312" w:eastAsia="仿宋_GB2312"/>
        </w:rPr>
        <w:t>详见附件：12安全及撤场方案.docx</w:t>
      </w:r>
    </w:p>
    <w:p>
      <w:pPr>
        <w:pStyle w:val="null3"/>
        <w:ind w:firstLine="960"/>
      </w:pPr>
      <w:r>
        <w:rPr>
          <w:rFonts w:ascii="仿宋_GB2312" w:hAnsi="仿宋_GB2312" w:cs="仿宋_GB2312" w:eastAsia="仿宋_GB2312"/>
        </w:rPr>
        <w:t>详见附件：13应急方案.docx</w:t>
      </w:r>
    </w:p>
    <w:p>
      <w:pPr>
        <w:pStyle w:val="null3"/>
        <w:ind w:firstLine="960"/>
      </w:pPr>
      <w:r>
        <w:rPr>
          <w:rFonts w:ascii="仿宋_GB2312" w:hAnsi="仿宋_GB2312" w:cs="仿宋_GB2312" w:eastAsia="仿宋_GB2312"/>
        </w:rPr>
        <w:t>详见附件：14项目负责人.docx</w:t>
      </w:r>
    </w:p>
    <w:p>
      <w:pPr>
        <w:pStyle w:val="null3"/>
        <w:ind w:firstLine="960"/>
      </w:pPr>
      <w:r>
        <w:rPr>
          <w:rFonts w:ascii="仿宋_GB2312" w:hAnsi="仿宋_GB2312" w:cs="仿宋_GB2312" w:eastAsia="仿宋_GB2312"/>
        </w:rPr>
        <w:t>详见附件：15执行团队.docx</w:t>
      </w:r>
    </w:p>
    <w:p>
      <w:pPr>
        <w:pStyle w:val="null3"/>
        <w:ind w:firstLine="960"/>
      </w:pPr>
      <w:r>
        <w:rPr>
          <w:rFonts w:ascii="仿宋_GB2312" w:hAnsi="仿宋_GB2312" w:cs="仿宋_GB2312" w:eastAsia="仿宋_GB2312"/>
        </w:rPr>
        <w:t>详见附件：16保密措施.docx</w:t>
      </w:r>
    </w:p>
    <w:p>
      <w:pPr>
        <w:pStyle w:val="null3"/>
        <w:ind w:firstLine="960"/>
      </w:pPr>
      <w:r>
        <w:rPr>
          <w:rFonts w:ascii="仿宋_GB2312" w:hAnsi="仿宋_GB2312" w:cs="仿宋_GB2312" w:eastAsia="仿宋_GB2312"/>
        </w:rPr>
        <w:t>详见附件：17平台情况.docx</w:t>
      </w:r>
    </w:p>
    <w:p>
      <w:pPr>
        <w:pStyle w:val="null3"/>
        <w:ind w:firstLine="960"/>
      </w:pPr>
      <w:r>
        <w:rPr>
          <w:rFonts w:ascii="仿宋_GB2312" w:hAnsi="仿宋_GB2312" w:cs="仿宋_GB2312" w:eastAsia="仿宋_GB2312"/>
        </w:rPr>
        <w:t>详见附件：18措施承诺.docx</w:t>
      </w:r>
    </w:p>
    <w:p>
      <w:pPr>
        <w:pStyle w:val="null3"/>
        <w:ind w:firstLine="960"/>
      </w:pPr>
      <w:r>
        <w:rPr>
          <w:rFonts w:ascii="仿宋_GB2312" w:hAnsi="仿宋_GB2312" w:cs="仿宋_GB2312" w:eastAsia="仿宋_GB2312"/>
        </w:rPr>
        <w:t>详见附件：19业绩.docx</w:t>
      </w:r>
    </w:p>
    <w:p>
      <w:pPr>
        <w:pStyle w:val="null3"/>
        <w:ind w:firstLine="960"/>
      </w:pPr>
      <w:r>
        <w:rPr>
          <w:rFonts w:ascii="仿宋_GB2312" w:hAnsi="仿宋_GB2312" w:cs="仿宋_GB2312" w:eastAsia="仿宋_GB2312"/>
        </w:rPr>
        <w:t>详见附件：20服务承诺.docx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