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版本号：YC25101020(CGP)20250627001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棉纺织品（被服类）采购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YC25101020(CGP)</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棉纺织品（被服类）采购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YC25101020(CGP)</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棉纺织品（被服类）采购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西安市红会医院棉纺织品被服类货物一年供货。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采购包1（棉纺织品（被服））：属于专门面向中小企业采购。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具有独立承担民事责任能力的法人或其他组织，提供合法有效的营业执照、税务登记证、组织机构代码证（三证合一的企业提供统一社会信用代码的营业执照）（原件的复印件加盖公章）</w:t>
      </w:r>
    </w:p>
    <w:p>
      <w:pPr>
        <w:pStyle w:val="null3"/>
      </w:pPr>
      <w:r>
        <w:rPr>
          <w:rFonts w:ascii="仿宋_GB2312" w:hAnsi="仿宋_GB2312" w:cs="仿宋_GB2312" w:eastAsia="仿宋_GB2312"/>
        </w:rPr>
        <w:t>2、具有良好的商业信誉和健全的财务会计制度；：提供具有财务审计资质单位出具的2024年度审计报告或提供供应商基本存款账户信息及开标日期前90日内其基本存款账户开户银行出具的资信证明。以上形式的证明资料提供任何一种即可。</w:t>
      </w:r>
    </w:p>
    <w:p>
      <w:pPr>
        <w:pStyle w:val="null3"/>
      </w:pPr>
      <w:r>
        <w:rPr>
          <w:rFonts w:ascii="仿宋_GB2312" w:hAnsi="仿宋_GB2312" w:cs="仿宋_GB2312" w:eastAsia="仿宋_GB2312"/>
        </w:rPr>
        <w:t>3、具有履行合同所必需的设备和专业技术能力；：出具履行合同所必需的设备和专业技术能力的书面声明。</w:t>
      </w:r>
    </w:p>
    <w:p>
      <w:pPr>
        <w:pStyle w:val="null3"/>
      </w:pPr>
      <w:r>
        <w:rPr>
          <w:rFonts w:ascii="仿宋_GB2312" w:hAnsi="仿宋_GB2312" w:cs="仿宋_GB2312" w:eastAsia="仿宋_GB2312"/>
        </w:rPr>
        <w:t>4、有依法缴纳税收和社会保障资金的良好记录；：1.投标供应商近六个月内（投标截止时间前）任意1个月纳税证明材料：根据税务部门出具的完税凭证或纳税的银行转账汇款单、对账单等判定，如依法免税或不需要纳税的，提供相应证明材料。 2.投标供应商近六个月内（投标截止时间前）任意1个月缴纳社会保障金证明材料：根据银行转账汇款单或社保（税务）部门出具的缴纳社会保障金的凭证判定，证明材料应当显示险种和缴纳所属时期；不需要缴纳社会保障金的投标供应商，应当提供相关证明材料或书面声明。代缴社保证明材料不予认可。</w:t>
      </w:r>
    </w:p>
    <w:p>
      <w:pPr>
        <w:pStyle w:val="null3"/>
      </w:pPr>
      <w:r>
        <w:rPr>
          <w:rFonts w:ascii="仿宋_GB2312" w:hAnsi="仿宋_GB2312" w:cs="仿宋_GB2312" w:eastAsia="仿宋_GB2312"/>
        </w:rPr>
        <w:t>5、参加政府采购活动前三年内，在经营活动中没有重大违法记录；：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6、法律、行政法规规定的其他条件。：投标人满足法律、行政法规规定的其他条件的书面声明。</w:t>
      </w:r>
    </w:p>
    <w:p>
      <w:pPr>
        <w:pStyle w:val="null3"/>
      </w:pPr>
      <w:r>
        <w:rPr>
          <w:rFonts w:ascii="仿宋_GB2312" w:hAnsi="仿宋_GB2312" w:cs="仿宋_GB2312" w:eastAsia="仿宋_GB2312"/>
        </w:rPr>
        <w:t>7、法定代表人身份证明或法定代表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在投标前6个月内（不含投标当月）任意3个月由投标人缴纳社保证明材料的复印件</w:t>
      </w:r>
    </w:p>
    <w:p>
      <w:pPr>
        <w:pStyle w:val="null3"/>
      </w:pPr>
      <w:r>
        <w:rPr>
          <w:rFonts w:ascii="仿宋_GB2312" w:hAnsi="仿宋_GB2312" w:cs="仿宋_GB2312" w:eastAsia="仿宋_GB2312"/>
        </w:rPr>
        <w:t>8、单位负责人为同一人或者存在直接控股、管理关系的不同供应商不得参加同一合同项下的政府采购活动；为本项目提供整体设计、规范编制或者项目管理、监理、检测等服务的供应商，不得再参加该采购项目的其他采购活动。：与投标人为同一人或存在直接控股或管理关系的不同供应商，未参加同一包采购活动。 投标人为生产型企业的，与投标人生产场经营地址或注册登记地址为同一地址的其他生产型企业，未参加同一包采购活动。 投标人为非国有销售型企业的，与投标人以及股东和管理人员（法定代表人、董事或监事）之间存在近亲属（指夫妻、直系血亲、三代以内旁系血亲或近姻亲关系）或相互占股等关联关系的其他非国有销售型企业，也未参加同一包采购活动。 投标人提供的业绩证明材料中，合同缔约方不存在控股或管理关系。</w:t>
      </w:r>
    </w:p>
    <w:p>
      <w:pPr>
        <w:pStyle w:val="null3"/>
      </w:pPr>
      <w:r>
        <w:rPr>
          <w:rFonts w:ascii="仿宋_GB2312" w:hAnsi="仿宋_GB2312" w:cs="仿宋_GB2312" w:eastAsia="仿宋_GB2312"/>
        </w:rPr>
        <w:t>9、关联关系：本项目不接受由西安市红会医院职工及其亲属投资举办的企业参加投标(提供承诺函)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西安市碑林区南稍门南郭路76号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刘思琦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15353685616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收取与退还：乙方应当在中标通知书领取后五个工作日内将项目履约保证金（预算总金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质保期满一年无质量问题后，无息退还履约保证金。 采购人基本户户名：西安市红会医院 账号：102407334632 开户行：中行西安长安路支行 注：转账请注明用途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代理服务费收费标准：以采购预算为基数，本项目采购招标代理服务费按国家发改委文件计价格〔2002〕1980号及发改价格〔2011〕534号文件规定标准80%计取。由中标供应商领取成交通知书前一次性支付。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西安市红会医院</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联系人：刘思琦</w:t>
      </w:r>
    </w:p>
    <w:p>
      <w:pPr>
        <w:pStyle w:val="null3"/>
      </w:pPr>
      <w:r>
        <w:rPr>
          <w:rFonts w:ascii="仿宋_GB2312" w:hAnsi="仿宋_GB2312" w:cs="仿宋_GB2312" w:eastAsia="仿宋_GB2312"/>
        </w:rPr>
        <w:t>联系电话：15353685616</w:t>
      </w:r>
    </w:p>
    <w:p>
      <w:pPr>
        <w:pStyle w:val="null3"/>
      </w:pPr>
      <w:r>
        <w:rPr>
          <w:rFonts w:ascii="仿宋_GB2312" w:hAnsi="仿宋_GB2312" w:cs="仿宋_GB2312" w:eastAsia="仿宋_GB2312"/>
        </w:rPr>
        <w:t>地址：陕西省西安市高新区丈八五路高科尚都ONE尚城A座10F亿诚建设项目管理有限公司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西安市红会医院棉纺织品被服类货物一年供货。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棉纺织品被服类货物一年供货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标的名称：棉纺织品被服类货物一年供货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6"/>
              <w:gridCol w:w="166"/>
              <w:gridCol w:w="307"/>
              <w:gridCol w:w="253"/>
              <w:gridCol w:w="1140"/>
              <w:gridCol w:w="258"/>
              <w:gridCol w:w="263"/>
            </w:tblGrid>
            <w:tr>
              <w:tc>
                <w:tcPr>
                  <w:tcW w:type="dxa" w:w="2553"/>
                  <w:gridSpan w:val="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棉纺织品被服类项目招标参数</w:t>
                  </w:r>
                </w:p>
              </w:tc>
            </w:tr>
            <w:tr>
              <w:tc>
                <w:tcPr>
                  <w:tcW w:type="dxa" w:w="1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品名</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尺寸规格</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材质说明</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单价限价</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床单</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2.65*1.80m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纯棉，纱支</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 xml:space="preserve"> </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133*105（根/吋、±4根/吋），3cm缎条，蓝色、白色。</w:t>
                  </w:r>
                </w:p>
                <w:p>
                  <w:pPr>
                    <w:pStyle w:val="null3"/>
                    <w:jc w:val="both"/>
                  </w:pPr>
                  <w:r>
                    <w:rPr>
                      <w:rFonts w:ascii="仿宋_GB2312" w:hAnsi="仿宋_GB2312" w:cs="仿宋_GB2312" w:eastAsia="仿宋_GB2312"/>
                      <w:sz w:val="20"/>
                    </w:rPr>
                    <w:t>印有院徽及</w:t>
                  </w:r>
                  <w:r>
                    <w:rPr>
                      <w:rFonts w:ascii="仿宋_GB2312" w:hAnsi="仿宋_GB2312" w:cs="仿宋_GB2312" w:eastAsia="仿宋_GB2312"/>
                      <w:sz w:val="20"/>
                    </w:rPr>
                    <w:t>“床单”标识。</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提供检测报告</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被套</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2.40*1.75m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纯棉，纱支</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 xml:space="preserve"> </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133*105（根/吋、±4根/吋），3cm缎条，蓝色、白色。印有院徽及“被套”标识。</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263"/>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枕套</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0.7*0.44m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纯棉，纱支</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 xml:space="preserve"> </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133*105（根/吋、±4根/吋），3cm缎条，蓝色、白色。印有院徽及“枕套”标识。</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3"/>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床笠</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0.6*1.92+0.15m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T65/C35;纱支≥32</w:t>
                  </w:r>
                  <w:r>
                    <w:rPr>
                      <w:rFonts w:ascii="仿宋_GB2312" w:hAnsi="仿宋_GB2312" w:cs="仿宋_GB2312" w:eastAsia="仿宋_GB2312"/>
                      <w:sz w:val="20"/>
                      <w:vertAlign w:val="superscript"/>
                    </w:rPr>
                    <w:t>S</w:t>
                  </w:r>
                  <w:r>
                    <w:rPr>
                      <w:rFonts w:ascii="仿宋_GB2312" w:hAnsi="仿宋_GB2312" w:cs="仿宋_GB2312" w:eastAsia="仿宋_GB2312"/>
                      <w:sz w:val="20"/>
                    </w:rPr>
                    <w:t>*32</w:t>
                  </w:r>
                  <w:r>
                    <w:rPr>
                      <w:rFonts w:ascii="仿宋_GB2312" w:hAnsi="仿宋_GB2312" w:cs="仿宋_GB2312" w:eastAsia="仿宋_GB2312"/>
                      <w:sz w:val="20"/>
                      <w:vertAlign w:val="superscript"/>
                    </w:rPr>
                    <w:t>S</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130*70（根/吋，±4根/吋）平接锁缝加固，四周松紧带，两边双层加固。请充分考虑面料缩水率,保证床笠使用平整、美观（床尺寸：190cm*60cm，床垫厚5cm）；</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提供检测报告</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枕芯包布套</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0.43*0.65m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斜纹布，</w:t>
                  </w:r>
                  <w:r>
                    <w:rPr>
                      <w:rFonts w:ascii="仿宋_GB2312" w:hAnsi="仿宋_GB2312" w:cs="仿宋_GB2312" w:eastAsia="仿宋_GB2312"/>
                      <w:sz w:val="20"/>
                    </w:rPr>
                    <w:t>T65/C35，纱支≥32</w:t>
                  </w:r>
                  <w:r>
                    <w:rPr>
                      <w:rFonts w:ascii="仿宋_GB2312" w:hAnsi="仿宋_GB2312" w:cs="仿宋_GB2312" w:eastAsia="仿宋_GB2312"/>
                      <w:sz w:val="20"/>
                      <w:vertAlign w:val="superscript"/>
                    </w:rPr>
                    <w:t>S</w:t>
                  </w:r>
                  <w:r>
                    <w:rPr>
                      <w:rFonts w:ascii="仿宋_GB2312" w:hAnsi="仿宋_GB2312" w:cs="仿宋_GB2312" w:eastAsia="仿宋_GB2312"/>
                      <w:sz w:val="20"/>
                    </w:rPr>
                    <w:t>*32</w:t>
                  </w:r>
                  <w:r>
                    <w:rPr>
                      <w:rFonts w:ascii="仿宋_GB2312" w:hAnsi="仿宋_GB2312" w:cs="仿宋_GB2312" w:eastAsia="仿宋_GB2312"/>
                      <w:sz w:val="20"/>
                      <w:vertAlign w:val="superscript"/>
                    </w:rPr>
                    <w:t>S</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130*70（根/吋，±4根/吋），印有院徽及“枕芯包布”标识。</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3"/>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被子</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2.20*1</w:t>
                  </w:r>
                  <w:r>
                    <w:rPr>
                      <w:rFonts w:ascii="仿宋_GB2312" w:hAnsi="仿宋_GB2312" w:cs="仿宋_GB2312" w:eastAsia="仿宋_GB2312"/>
                      <w:sz w:val="20"/>
                    </w:rPr>
                    <w:t>.60m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条重</w:t>
                  </w:r>
                  <w:r>
                    <w:rPr>
                      <w:rFonts w:ascii="仿宋_GB2312" w:hAnsi="仿宋_GB2312" w:cs="仿宋_GB2312" w:eastAsia="仿宋_GB2312"/>
                      <w:sz w:val="20"/>
                    </w:rPr>
                    <w:t>2.0kg（含包布），绗缝间距20cm（菱形图案）</w:t>
                  </w:r>
                </w:p>
                <w:p>
                  <w:pPr>
                    <w:pStyle w:val="null3"/>
                    <w:numPr>
                      <w:ilvl w:val="0"/>
                      <w:numId w:val="1"/>
                    </w:numPr>
                    <w:jc w:val="both"/>
                  </w:pPr>
                  <w:r>
                    <w:rPr>
                      <w:rFonts w:ascii="仿宋_GB2312" w:hAnsi="仿宋_GB2312" w:cs="仿宋_GB2312" w:eastAsia="仿宋_GB2312"/>
                      <w:sz w:val="20"/>
                    </w:rPr>
                    <w:t>包布面料：白色，</w:t>
                  </w:r>
                  <w:r>
                    <w:rPr>
                      <w:rFonts w:ascii="仿宋_GB2312" w:hAnsi="仿宋_GB2312" w:cs="仿宋_GB2312" w:eastAsia="仿宋_GB2312"/>
                      <w:sz w:val="20"/>
                    </w:rPr>
                    <w:t>100%聚酯纤维，纱支≥40</w:t>
                  </w:r>
                  <w:r>
                    <w:rPr>
                      <w:rFonts w:ascii="仿宋_GB2312" w:hAnsi="仿宋_GB2312" w:cs="仿宋_GB2312" w:eastAsia="仿宋_GB2312"/>
                      <w:sz w:val="20"/>
                      <w:vertAlign w:val="superscript"/>
                    </w:rPr>
                    <w:t>S</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140*70（根/吋，±4根/吋）。</w:t>
                  </w:r>
                </w:p>
                <w:p>
                  <w:pPr>
                    <w:pStyle w:val="null3"/>
                    <w:numPr>
                      <w:ilvl w:val="0"/>
                      <w:numId w:val="1"/>
                    </w:numPr>
                    <w:jc w:val="both"/>
                  </w:pPr>
                  <w:r>
                    <w:rPr>
                      <w:rFonts w:ascii="仿宋_GB2312" w:hAnsi="仿宋_GB2312" w:cs="仿宋_GB2312" w:eastAsia="仿宋_GB2312"/>
                      <w:sz w:val="20"/>
                    </w:rPr>
                    <w:t>填充物</w:t>
                  </w:r>
                  <w:r>
                    <w:rPr>
                      <w:rFonts w:ascii="仿宋_GB2312" w:hAnsi="仿宋_GB2312" w:cs="仿宋_GB2312" w:eastAsia="仿宋_GB2312"/>
                      <w:sz w:val="20"/>
                    </w:rPr>
                    <w:t>100%聚酯纤维，印有院徽及“被子”标识，可水洗。</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提供检测报告</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褥子</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2.00*1.2m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条重</w:t>
                  </w:r>
                  <w:r>
                    <w:rPr>
                      <w:rFonts w:ascii="仿宋_GB2312" w:hAnsi="仿宋_GB2312" w:cs="仿宋_GB2312" w:eastAsia="仿宋_GB2312"/>
                      <w:sz w:val="20"/>
                    </w:rPr>
                    <w:t>2.0kg（含包布），绗缝间距20cm（菱形图案）</w:t>
                  </w:r>
                </w:p>
                <w:p>
                  <w:pPr>
                    <w:pStyle w:val="null3"/>
                    <w:numPr>
                      <w:ilvl w:val="0"/>
                      <w:numId w:val="1"/>
                    </w:numPr>
                    <w:jc w:val="both"/>
                  </w:pPr>
                  <w:r>
                    <w:rPr>
                      <w:rFonts w:ascii="仿宋_GB2312" w:hAnsi="仿宋_GB2312" w:cs="仿宋_GB2312" w:eastAsia="仿宋_GB2312"/>
                      <w:sz w:val="20"/>
                    </w:rPr>
                    <w:t>包布面料：白色，</w:t>
                  </w:r>
                  <w:r>
                    <w:rPr>
                      <w:rFonts w:ascii="仿宋_GB2312" w:hAnsi="仿宋_GB2312" w:cs="仿宋_GB2312" w:eastAsia="仿宋_GB2312"/>
                      <w:sz w:val="20"/>
                    </w:rPr>
                    <w:t>100%聚酯纤维，纱支≥40</w:t>
                  </w:r>
                  <w:r>
                    <w:rPr>
                      <w:rFonts w:ascii="仿宋_GB2312" w:hAnsi="仿宋_GB2312" w:cs="仿宋_GB2312" w:eastAsia="仿宋_GB2312"/>
                      <w:sz w:val="20"/>
                      <w:vertAlign w:val="superscript"/>
                    </w:rPr>
                    <w:t>S</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140*70（根/吋，±4根/吋）。</w:t>
                  </w:r>
                </w:p>
                <w:p>
                  <w:pPr>
                    <w:pStyle w:val="null3"/>
                    <w:numPr>
                      <w:ilvl w:val="0"/>
                      <w:numId w:val="1"/>
                    </w:numPr>
                    <w:jc w:val="both"/>
                  </w:pPr>
                  <w:r>
                    <w:rPr>
                      <w:rFonts w:ascii="仿宋_GB2312" w:hAnsi="仿宋_GB2312" w:cs="仿宋_GB2312" w:eastAsia="仿宋_GB2312"/>
                      <w:sz w:val="20"/>
                    </w:rPr>
                    <w:t>填充物</w:t>
                  </w:r>
                  <w:r>
                    <w:rPr>
                      <w:rFonts w:ascii="仿宋_GB2312" w:hAnsi="仿宋_GB2312" w:cs="仿宋_GB2312" w:eastAsia="仿宋_GB2312"/>
                      <w:sz w:val="20"/>
                    </w:rPr>
                    <w:t>100%聚酯纤维，印有院徽及“褥子”标识，可水洗。</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63"/>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褥子</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0*1.</w:t>
                  </w:r>
                  <w:r>
                    <w:rPr>
                      <w:rFonts w:ascii="仿宋_GB2312" w:hAnsi="仿宋_GB2312" w:cs="仿宋_GB2312" w:eastAsia="仿宋_GB2312"/>
                      <w:sz w:val="20"/>
                    </w:rPr>
                    <w:t>0</w:t>
                  </w:r>
                  <w:r>
                    <w:rPr>
                      <w:rFonts w:ascii="仿宋_GB2312" w:hAnsi="仿宋_GB2312" w:cs="仿宋_GB2312" w:eastAsia="仿宋_GB2312"/>
                      <w:sz w:val="20"/>
                    </w:rPr>
                    <w:t>0m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条重</w:t>
                  </w:r>
                  <w:r>
                    <w:rPr>
                      <w:rFonts w:ascii="仿宋_GB2312" w:hAnsi="仿宋_GB2312" w:cs="仿宋_GB2312" w:eastAsia="仿宋_GB2312"/>
                      <w:sz w:val="20"/>
                    </w:rPr>
                    <w:t>2.0kg（含包布），绗缝间距20cm（菱形图案）</w:t>
                  </w:r>
                </w:p>
                <w:p>
                  <w:pPr>
                    <w:pStyle w:val="null3"/>
                    <w:numPr>
                      <w:ilvl w:val="0"/>
                      <w:numId w:val="1"/>
                    </w:numPr>
                    <w:jc w:val="both"/>
                  </w:pPr>
                  <w:r>
                    <w:rPr>
                      <w:rFonts w:ascii="仿宋_GB2312" w:hAnsi="仿宋_GB2312" w:cs="仿宋_GB2312" w:eastAsia="仿宋_GB2312"/>
                      <w:sz w:val="20"/>
                    </w:rPr>
                    <w:t>包布面料：白色，</w:t>
                  </w:r>
                  <w:r>
                    <w:rPr>
                      <w:rFonts w:ascii="仿宋_GB2312" w:hAnsi="仿宋_GB2312" w:cs="仿宋_GB2312" w:eastAsia="仿宋_GB2312"/>
                      <w:sz w:val="20"/>
                    </w:rPr>
                    <w:t>100%聚酯纤维，纱支≥40</w:t>
                  </w:r>
                  <w:r>
                    <w:rPr>
                      <w:rFonts w:ascii="仿宋_GB2312" w:hAnsi="仿宋_GB2312" w:cs="仿宋_GB2312" w:eastAsia="仿宋_GB2312"/>
                      <w:sz w:val="20"/>
                      <w:vertAlign w:val="superscript"/>
                    </w:rPr>
                    <w:t>S</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140*70（根/吋，±4根/吋）。</w:t>
                  </w:r>
                </w:p>
                <w:p>
                  <w:pPr>
                    <w:pStyle w:val="null3"/>
                    <w:numPr>
                      <w:ilvl w:val="0"/>
                      <w:numId w:val="1"/>
                    </w:numPr>
                    <w:jc w:val="both"/>
                  </w:pPr>
                  <w:r>
                    <w:rPr>
                      <w:rFonts w:ascii="仿宋_GB2312" w:hAnsi="仿宋_GB2312" w:cs="仿宋_GB2312" w:eastAsia="仿宋_GB2312"/>
                      <w:sz w:val="20"/>
                    </w:rPr>
                    <w:t>填充物</w:t>
                  </w:r>
                  <w:r>
                    <w:rPr>
                      <w:rFonts w:ascii="仿宋_GB2312" w:hAnsi="仿宋_GB2312" w:cs="仿宋_GB2312" w:eastAsia="仿宋_GB2312"/>
                      <w:sz w:val="20"/>
                    </w:rPr>
                    <w:t>100%聚酯纤维，印有院徽及“褥子”标识，可水洗。</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63"/>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褥子</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1.9*0.9m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条重</w:t>
                  </w:r>
                  <w:r>
                    <w:rPr>
                      <w:rFonts w:ascii="仿宋_GB2312" w:hAnsi="仿宋_GB2312" w:cs="仿宋_GB2312" w:eastAsia="仿宋_GB2312"/>
                      <w:sz w:val="20"/>
                    </w:rPr>
                    <w:t>2.0kg（含包布），绗缝间距20cm（菱形图案）</w:t>
                  </w:r>
                </w:p>
                <w:p>
                  <w:pPr>
                    <w:pStyle w:val="null3"/>
                    <w:numPr>
                      <w:ilvl w:val="0"/>
                      <w:numId w:val="1"/>
                    </w:numPr>
                    <w:jc w:val="both"/>
                  </w:pPr>
                  <w:r>
                    <w:rPr>
                      <w:rFonts w:ascii="仿宋_GB2312" w:hAnsi="仿宋_GB2312" w:cs="仿宋_GB2312" w:eastAsia="仿宋_GB2312"/>
                      <w:sz w:val="20"/>
                    </w:rPr>
                    <w:t>包布面料：白色，</w:t>
                  </w:r>
                  <w:r>
                    <w:rPr>
                      <w:rFonts w:ascii="仿宋_GB2312" w:hAnsi="仿宋_GB2312" w:cs="仿宋_GB2312" w:eastAsia="仿宋_GB2312"/>
                      <w:sz w:val="20"/>
                    </w:rPr>
                    <w:t>100%聚酯纤维，纱支≥40</w:t>
                  </w:r>
                  <w:r>
                    <w:rPr>
                      <w:rFonts w:ascii="仿宋_GB2312" w:hAnsi="仿宋_GB2312" w:cs="仿宋_GB2312" w:eastAsia="仿宋_GB2312"/>
                      <w:sz w:val="20"/>
                      <w:vertAlign w:val="superscript"/>
                    </w:rPr>
                    <w:t>S</w:t>
                  </w:r>
                  <w:r>
                    <w:rPr>
                      <w:rFonts w:ascii="仿宋_GB2312" w:hAnsi="仿宋_GB2312" w:cs="仿宋_GB2312" w:eastAsia="仿宋_GB2312"/>
                      <w:sz w:val="20"/>
                    </w:rPr>
                    <w:t>*40</w:t>
                  </w:r>
                  <w:r>
                    <w:rPr>
                      <w:rFonts w:ascii="仿宋_GB2312" w:hAnsi="仿宋_GB2312" w:cs="仿宋_GB2312" w:eastAsia="仿宋_GB2312"/>
                      <w:sz w:val="20"/>
                      <w:vertAlign w:val="superscript"/>
                    </w:rPr>
                    <w:t>S</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140*70（根/吋，±4根/吋）。</w:t>
                  </w:r>
                </w:p>
                <w:p>
                  <w:pPr>
                    <w:pStyle w:val="null3"/>
                    <w:numPr>
                      <w:ilvl w:val="0"/>
                      <w:numId w:val="1"/>
                    </w:numPr>
                    <w:jc w:val="both"/>
                  </w:pPr>
                  <w:r>
                    <w:rPr>
                      <w:rFonts w:ascii="仿宋_GB2312" w:hAnsi="仿宋_GB2312" w:cs="仿宋_GB2312" w:eastAsia="仿宋_GB2312"/>
                      <w:sz w:val="20"/>
                    </w:rPr>
                    <w:t>填充物</w:t>
                  </w:r>
                  <w:r>
                    <w:rPr>
                      <w:rFonts w:ascii="仿宋_GB2312" w:hAnsi="仿宋_GB2312" w:cs="仿宋_GB2312" w:eastAsia="仿宋_GB2312"/>
                      <w:sz w:val="20"/>
                    </w:rPr>
                    <w:t>100%聚酯纤维，印有院徽及“褥子”标识,可水洗。</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63"/>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枕芯</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0.65*0.43m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斜纹布，</w:t>
                  </w:r>
                  <w:r>
                    <w:rPr>
                      <w:rFonts w:ascii="仿宋_GB2312" w:hAnsi="仿宋_GB2312" w:cs="仿宋_GB2312" w:eastAsia="仿宋_GB2312"/>
                      <w:sz w:val="20"/>
                    </w:rPr>
                    <w:t>T65/C35；</w:t>
                  </w:r>
                </w:p>
                <w:p>
                  <w:pPr>
                    <w:pStyle w:val="null3"/>
                    <w:numPr>
                      <w:ilvl w:val="0"/>
                      <w:numId w:val="1"/>
                    </w:numPr>
                    <w:jc w:val="both"/>
                  </w:pPr>
                  <w:r>
                    <w:rPr>
                      <w:rFonts w:ascii="仿宋_GB2312" w:hAnsi="仿宋_GB2312" w:cs="仿宋_GB2312" w:eastAsia="仿宋_GB2312"/>
                      <w:sz w:val="20"/>
                    </w:rPr>
                    <w:t>纱支</w:t>
                  </w:r>
                  <w:r>
                    <w:rPr>
                      <w:rFonts w:ascii="仿宋_GB2312" w:hAnsi="仿宋_GB2312" w:cs="仿宋_GB2312" w:eastAsia="仿宋_GB2312"/>
                      <w:sz w:val="20"/>
                    </w:rPr>
                    <w:t>≥32</w:t>
                  </w:r>
                  <w:r>
                    <w:rPr>
                      <w:rFonts w:ascii="仿宋_GB2312" w:hAnsi="仿宋_GB2312" w:cs="仿宋_GB2312" w:eastAsia="仿宋_GB2312"/>
                      <w:sz w:val="20"/>
                      <w:vertAlign w:val="superscript"/>
                    </w:rPr>
                    <w:t>S</w:t>
                  </w:r>
                  <w:r>
                    <w:rPr>
                      <w:rFonts w:ascii="仿宋_GB2312" w:hAnsi="仿宋_GB2312" w:cs="仿宋_GB2312" w:eastAsia="仿宋_GB2312"/>
                      <w:sz w:val="20"/>
                    </w:rPr>
                    <w:t>*32</w:t>
                  </w:r>
                  <w:r>
                    <w:rPr>
                      <w:rFonts w:ascii="仿宋_GB2312" w:hAnsi="仿宋_GB2312" w:cs="仿宋_GB2312" w:eastAsia="仿宋_GB2312"/>
                      <w:sz w:val="20"/>
                      <w:vertAlign w:val="superscript"/>
                    </w:rPr>
                    <w:t>S</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密度</w:t>
                  </w:r>
                  <w:r>
                    <w:rPr>
                      <w:rFonts w:ascii="仿宋_GB2312" w:hAnsi="仿宋_GB2312" w:cs="仿宋_GB2312" w:eastAsia="仿宋_GB2312"/>
                      <w:sz w:val="20"/>
                    </w:rPr>
                    <w:t>130*70（根/吋，±4根/吋）；</w:t>
                  </w:r>
                </w:p>
                <w:p>
                  <w:pPr>
                    <w:pStyle w:val="null3"/>
                    <w:numPr>
                      <w:ilvl w:val="0"/>
                      <w:numId w:val="1"/>
                    </w:numPr>
                    <w:jc w:val="both"/>
                  </w:pPr>
                  <w:r>
                    <w:rPr>
                      <w:rFonts w:ascii="仿宋_GB2312" w:hAnsi="仿宋_GB2312" w:cs="仿宋_GB2312" w:eastAsia="仿宋_GB2312"/>
                      <w:sz w:val="20"/>
                    </w:rPr>
                    <w:t>印有院徽及枕芯标识。填充物：荞麦壳；</w:t>
                  </w:r>
                </w:p>
                <w:p>
                  <w:pPr>
                    <w:pStyle w:val="null3"/>
                    <w:numPr>
                      <w:ilvl w:val="0"/>
                      <w:numId w:val="1"/>
                    </w:numPr>
                    <w:jc w:val="both"/>
                  </w:pPr>
                  <w:r>
                    <w:rPr>
                      <w:rFonts w:ascii="仿宋_GB2312" w:hAnsi="仿宋_GB2312" w:cs="仿宋_GB2312" w:eastAsia="仿宋_GB2312"/>
                      <w:sz w:val="20"/>
                    </w:rPr>
                    <w:t>重量：</w:t>
                  </w:r>
                  <w:r>
                    <w:rPr>
                      <w:rFonts w:ascii="仿宋_GB2312" w:hAnsi="仿宋_GB2312" w:cs="仿宋_GB2312" w:eastAsia="仿宋_GB2312"/>
                      <w:sz w:val="20"/>
                    </w:rPr>
                    <w:t>2.0kg</w:t>
                  </w:r>
                </w:p>
                <w:p>
                  <w:pPr>
                    <w:pStyle w:val="null3"/>
                    <w:numPr>
                      <w:ilvl w:val="0"/>
                      <w:numId w:val="1"/>
                    </w:numPr>
                    <w:jc w:val="both"/>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水洗尺寸变化率</w:t>
                  </w:r>
                  <w:r>
                    <w:rPr>
                      <w:rFonts w:ascii="仿宋_GB2312" w:hAnsi="仿宋_GB2312" w:cs="仿宋_GB2312" w:eastAsia="仿宋_GB2312"/>
                      <w:sz w:val="20"/>
                    </w:rPr>
                    <w:t>+2%～-5%；</w:t>
                  </w:r>
                </w:p>
                <w:p>
                  <w:pPr>
                    <w:pStyle w:val="null3"/>
                    <w:numPr>
                      <w:ilvl w:val="0"/>
                      <w:numId w:val="1"/>
                    </w:numPr>
                    <w:jc w:val="both"/>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numPr>
                      <w:ilvl w:val="0"/>
                      <w:numId w:val="1"/>
                    </w:numPr>
                    <w:jc w:val="both"/>
                  </w:pPr>
                  <w:r>
                    <w:rPr>
                      <w:rFonts w:ascii="仿宋_GB2312" w:hAnsi="仿宋_GB2312" w:cs="仿宋_GB2312" w:eastAsia="仿宋_GB2312"/>
                      <w:sz w:val="20"/>
                    </w:rPr>
                    <w:t>耐氯漂色牢度</w:t>
                  </w:r>
                  <w:r>
                    <w:rPr>
                      <w:rFonts w:ascii="仿宋_GB2312" w:hAnsi="仿宋_GB2312" w:cs="仿宋_GB2312" w:eastAsia="仿宋_GB2312"/>
                      <w:sz w:val="20"/>
                    </w:rPr>
                    <w:t>≥3-4级；</w:t>
                  </w:r>
                </w:p>
                <w:p>
                  <w:pPr>
                    <w:pStyle w:val="null3"/>
                    <w:numPr>
                      <w:ilvl w:val="0"/>
                      <w:numId w:val="1"/>
                    </w:numPr>
                    <w:jc w:val="both"/>
                  </w:pPr>
                  <w:r>
                    <w:rPr>
                      <w:rFonts w:ascii="仿宋_GB2312" w:hAnsi="仿宋_GB2312" w:cs="仿宋_GB2312" w:eastAsia="仿宋_GB2312"/>
                      <w:sz w:val="20"/>
                    </w:rPr>
                    <w:t>甲醛（</w:t>
                  </w:r>
                  <w:r>
                    <w:rPr>
                      <w:rFonts w:ascii="仿宋_GB2312" w:hAnsi="仿宋_GB2312" w:cs="仿宋_GB2312" w:eastAsia="仿宋_GB2312"/>
                      <w:sz w:val="20"/>
                    </w:rPr>
                    <w:t>≤75mg/kg）；</w:t>
                  </w:r>
                </w:p>
                <w:p>
                  <w:pPr>
                    <w:pStyle w:val="null3"/>
                    <w:numPr>
                      <w:ilvl w:val="0"/>
                      <w:numId w:val="1"/>
                    </w:numPr>
                    <w:jc w:val="both"/>
                  </w:pPr>
                  <w:r>
                    <w:rPr>
                      <w:rFonts w:ascii="仿宋_GB2312" w:hAnsi="仿宋_GB2312" w:cs="仿宋_GB2312" w:eastAsia="仿宋_GB2312"/>
                      <w:sz w:val="20"/>
                    </w:rPr>
                    <w:t>可分解致癌芳香胺染料（禁用）；</w:t>
                  </w:r>
                </w:p>
                <w:p>
                  <w:pPr>
                    <w:pStyle w:val="null3"/>
                    <w:numPr>
                      <w:ilvl w:val="0"/>
                      <w:numId w:val="1"/>
                    </w:numPr>
                    <w:jc w:val="both"/>
                  </w:pPr>
                  <w:r>
                    <w:rPr>
                      <w:rFonts w:ascii="仿宋_GB2312" w:hAnsi="仿宋_GB2312" w:cs="仿宋_GB2312" w:eastAsia="仿宋_GB2312"/>
                      <w:sz w:val="20"/>
                    </w:rPr>
                    <w:t>异味（无）；</w:t>
                  </w:r>
                </w:p>
                <w:p>
                  <w:pPr>
                    <w:pStyle w:val="null3"/>
                    <w:numPr>
                      <w:ilvl w:val="0"/>
                      <w:numId w:val="1"/>
                    </w:numPr>
                    <w:jc w:val="both"/>
                  </w:pPr>
                  <w:r>
                    <w:rPr>
                      <w:rFonts w:ascii="仿宋_GB2312" w:hAnsi="仿宋_GB2312" w:cs="仿宋_GB2312" w:eastAsia="仿宋_GB2312"/>
                      <w:sz w:val="20"/>
                    </w:rPr>
                    <w:t>pH（4.0~8.5）。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说明：</w:t>
                  </w:r>
                </w:p>
                <w:p>
                  <w:pPr>
                    <w:pStyle w:val="null3"/>
                    <w:jc w:val="both"/>
                  </w:pPr>
                  <w:r>
                    <w:rPr>
                      <w:rFonts w:ascii="仿宋_GB2312" w:hAnsi="仿宋_GB2312" w:cs="仿宋_GB2312" w:eastAsia="仿宋_GB2312"/>
                      <w:sz w:val="20"/>
                    </w:rPr>
                    <w:t>1.所投产品符合GB 18401-2010、产品标准要求GB/T 22796-2021《床上用品》。</w:t>
                  </w:r>
                </w:p>
                <w:p>
                  <w:pPr>
                    <w:pStyle w:val="null3"/>
                    <w:jc w:val="both"/>
                  </w:pPr>
                  <w:r>
                    <w:rPr>
                      <w:rFonts w:ascii="仿宋_GB2312" w:hAnsi="仿宋_GB2312" w:cs="仿宋_GB2312" w:eastAsia="仿宋_GB2312"/>
                      <w:sz w:val="20"/>
                    </w:rPr>
                    <w:t>2.各供应商的报价不得超出每个产品的单价预算金额。</w:t>
                  </w:r>
                </w:p>
                <w:p>
                  <w:pPr>
                    <w:pStyle w:val="null3"/>
                    <w:jc w:val="both"/>
                  </w:pPr>
                  <w:r>
                    <w:rPr>
                      <w:rFonts w:ascii="仿宋_GB2312" w:hAnsi="仿宋_GB2312" w:cs="仿宋_GB2312" w:eastAsia="仿宋_GB2312"/>
                      <w:sz w:val="20"/>
                    </w:rPr>
                    <w:t>3.样品要求：</w:t>
                  </w:r>
                </w:p>
                <w:p>
                  <w:pPr>
                    <w:pStyle w:val="null3"/>
                    <w:jc w:val="both"/>
                  </w:pPr>
                  <w:r>
                    <w:rPr>
                      <w:rFonts w:ascii="仿宋_GB2312" w:hAnsi="仿宋_GB2312" w:cs="仿宋_GB2312" w:eastAsia="仿宋_GB2312"/>
                      <w:sz w:val="20"/>
                    </w:rPr>
                    <w:t>3.1按招标文件要求参数制作样品参加开标会议，其中褥子只提供品目9（须印制院徽及蓝色尺寸标识）；</w:t>
                  </w:r>
                </w:p>
                <w:p>
                  <w:pPr>
                    <w:pStyle w:val="null3"/>
                    <w:jc w:val="both"/>
                  </w:pPr>
                  <w:r>
                    <w:rPr>
                      <w:rFonts w:ascii="仿宋_GB2312" w:hAnsi="仿宋_GB2312" w:cs="仿宋_GB2312" w:eastAsia="仿宋_GB2312"/>
                      <w:sz w:val="20"/>
                    </w:rPr>
                    <w:t>3.2右下角印院徽及标识，直径8cm，白色被服印蓝色logo；蓝色被服印白色logo。</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sz w:val="20"/>
              </w:rPr>
              <w:t>技术要求：</w:t>
            </w:r>
          </w:p>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具有</w:t>
            </w:r>
            <w:r>
              <w:rPr>
                <w:rFonts w:ascii="仿宋_GB2312" w:hAnsi="仿宋_GB2312" w:cs="仿宋_GB2312" w:eastAsia="仿宋_GB2312"/>
                <w:sz w:val="20"/>
              </w:rPr>
              <w:t>CMA标志</w:t>
            </w:r>
            <w:r>
              <w:rPr>
                <w:rFonts w:ascii="仿宋_GB2312" w:hAnsi="仿宋_GB2312" w:cs="仿宋_GB2312" w:eastAsia="仿宋_GB2312"/>
                <w:sz w:val="20"/>
              </w:rPr>
              <w:t>第三方检测机构出具的</w:t>
            </w:r>
            <w:r>
              <w:rPr>
                <w:rFonts w:ascii="仿宋_GB2312" w:hAnsi="仿宋_GB2312" w:cs="仿宋_GB2312" w:eastAsia="仿宋_GB2312"/>
                <w:sz w:val="20"/>
                <w:b/>
              </w:rPr>
              <w:t>三种面料</w:t>
            </w:r>
            <w:r>
              <w:rPr>
                <w:rFonts w:ascii="仿宋_GB2312" w:hAnsi="仿宋_GB2312" w:cs="仿宋_GB2312" w:eastAsia="仿宋_GB2312"/>
                <w:sz w:val="20"/>
              </w:rPr>
              <w:t>检测报告，检测报告须体现：</w:t>
            </w:r>
            <w:r>
              <w:rPr>
                <w:rFonts w:ascii="仿宋_GB2312" w:hAnsi="仿宋_GB2312" w:cs="仿宋_GB2312" w:eastAsia="仿宋_GB2312"/>
                <w:sz w:val="20"/>
              </w:rPr>
              <w:t>甲醛</w:t>
            </w:r>
            <w:r>
              <w:rPr>
                <w:rFonts w:ascii="仿宋_GB2312" w:hAnsi="仿宋_GB2312" w:cs="仿宋_GB2312" w:eastAsia="仿宋_GB2312"/>
                <w:sz w:val="20"/>
              </w:rPr>
              <w:t>（</w:t>
            </w:r>
            <w:r>
              <w:rPr>
                <w:rFonts w:ascii="仿宋_GB2312" w:hAnsi="仿宋_GB2312" w:cs="仿宋_GB2312" w:eastAsia="仿宋_GB2312"/>
                <w:sz w:val="20"/>
              </w:rPr>
              <w:t>≤75mg/kg）、可分解致癌芳香胺染料（禁用）、异味（无）</w:t>
            </w:r>
            <w:r>
              <w:rPr>
                <w:rFonts w:ascii="仿宋_GB2312" w:hAnsi="仿宋_GB2312" w:cs="仿宋_GB2312" w:eastAsia="仿宋_GB2312"/>
                <w:sz w:val="20"/>
              </w:rPr>
              <w:t>、</w:t>
            </w:r>
            <w:r>
              <w:rPr>
                <w:rFonts w:ascii="仿宋_GB2312" w:hAnsi="仿宋_GB2312" w:cs="仿宋_GB2312" w:eastAsia="仿宋_GB2312"/>
                <w:sz w:val="20"/>
              </w:rPr>
              <w:t>pH</w:t>
            </w:r>
            <w:r>
              <w:rPr>
                <w:rFonts w:ascii="仿宋_GB2312" w:hAnsi="仿宋_GB2312" w:cs="仿宋_GB2312" w:eastAsia="仿宋_GB2312"/>
                <w:sz w:val="20"/>
              </w:rPr>
              <w:t>（</w:t>
            </w:r>
            <w:r>
              <w:rPr>
                <w:rFonts w:ascii="仿宋_GB2312" w:hAnsi="仿宋_GB2312" w:cs="仿宋_GB2312" w:eastAsia="仿宋_GB2312"/>
                <w:sz w:val="20"/>
              </w:rPr>
              <w:t>4.0~8.5）</w:t>
            </w:r>
            <w:r>
              <w:rPr>
                <w:rFonts w:ascii="仿宋_GB2312" w:hAnsi="仿宋_GB2312" w:cs="仿宋_GB2312" w:eastAsia="仿宋_GB2312"/>
                <w:sz w:val="20"/>
              </w:rPr>
              <w:t>、水洗尺寸变化率</w:t>
            </w:r>
            <w:r>
              <w:rPr>
                <w:rFonts w:ascii="仿宋_GB2312" w:hAnsi="仿宋_GB2312" w:cs="仿宋_GB2312" w:eastAsia="仿宋_GB2312"/>
                <w:sz w:val="20"/>
              </w:rPr>
              <w:t>、加耐氯漂色牢度（</w:t>
            </w:r>
            <w:r>
              <w:rPr>
                <w:rFonts w:ascii="仿宋_GB2312" w:hAnsi="仿宋_GB2312" w:cs="仿宋_GB2312" w:eastAsia="仿宋_GB2312"/>
                <w:sz w:val="20"/>
              </w:rPr>
              <w:t>3-4）、耐水色牢度（≥4级）</w:t>
            </w:r>
            <w:r>
              <w:rPr>
                <w:rFonts w:ascii="仿宋_GB2312" w:hAnsi="仿宋_GB2312" w:cs="仿宋_GB2312" w:eastAsia="仿宋_GB2312"/>
                <w:sz w:val="20"/>
              </w:rPr>
              <w:t>、</w:t>
            </w:r>
            <w:r>
              <w:rPr>
                <w:rFonts w:ascii="仿宋_GB2312" w:hAnsi="仿宋_GB2312" w:cs="仿宋_GB2312" w:eastAsia="仿宋_GB2312"/>
                <w:sz w:val="20"/>
              </w:rPr>
              <w:t>耐</w:t>
            </w:r>
            <w:r>
              <w:rPr>
                <w:rFonts w:ascii="仿宋_GB2312" w:hAnsi="仿宋_GB2312" w:cs="仿宋_GB2312" w:eastAsia="仿宋_GB2312"/>
                <w:sz w:val="20"/>
              </w:rPr>
              <w:t>皂洗色牢度。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1.自合同签订之日起一年，或一年内完成项目预算金额合同自动终止，按需配送。 2.接到采购单位通知后，须4小时之内响应完成确认。并在确认后10日内配送至采购单位库房。紧急状态中标单位须无条件协助采购单位，加急完成配送货物。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据实结算，乙方开具等额合规发票。货物入库之日起次月进行账务报销。即每月10日之前完成入库手续的发票将在次月底左右完成账务报销，每月10日之后完成入库手续的发票将视为次月递交发票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（一）验收依据：以投标文件、澄清表（函）、合同和随货物的相关文件为准。 （二）质量验收标准或规范 1.所有货物须提供产品合格证或检验报告。不提供合格证或检验报告的中标单位，采购单位有权拒绝货物入库。检验报告作为验收依据。采购单位有权对中标单位在服务期内提供的任意批次任意货物进行1次抽检，由采购单位交付法律认可的质检机构或第三方技术专家，按照招标内容中的参数要求进行质检，所有因质检所需费用包含在中标价格中，须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1.所有货物须提供产品合格证或检验报告。不提供合格证或检验报告的中标单位，采购单位有权拒绝货物入库。检验报告作为验收依据。采购单位有权对中标单位在服务期内提供的任意批次任意货物进行1次抽检，由采购单位交付法律认可的质检机构或第三方技术专家，按照招标内容中的参数要求进行质检，所有因质检所需费用包含在中标价格中，须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 2.货物在使用过程中如遇到质量问题，中标单位应在接到采购单位的通知后4小时内响应，24小时内完成货物的重新配送。如遇使用问题，中标单位应在接到采购单位通知后4小时内响应，24小时内完成无条件协助。 （二）产品质保期 1、所有货物，质保期不得少于1年。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（一）按《中华人民共和国政府采购法》、《中华人民共和国民法典》中的相关条款执行。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方式追究乙方的违约责任： 1.乙方须按照招标文件配合采购单位管理。不配合采购单位工作、货物验收有质量问题或质检报告不合格，采购单位有权终止合同。 2.尺码按照医院要求制作，不按医院要求制作而导致尺寸不统一或偏大偏小，乙方予以免费更换。更换2次（包括2次）以上，甲方有权解除合同，解除合同书面通知书到达乙方之日视为合同已解除。 3.乙方如有调换产品，减低产品等级标准或提供存在质量缺陷产品，以劣充优，以假充真等违约行为的，一经查实，将取消其中标人资格，同时采购单位有权终止合同，要求中标单位按照本次货款预算总价20%支付违约金。 4.甲方在服装使用过程中，如出现缩水率超标、产品质量不符合要求等问题时，甲方可按本次货物预算总价的20%要求乙方支付违约金。 5.交货期10天，遇医院紧急情况5天内送到医院，除自然灾害等不可抗拒的原因，每延迟一天乙方支付甲方本次货物预算的1%作为违约金。超过10天未交货，甲方有权权解除合同，解除合同书面通知书到达乙方之日视为合同已解除，同时乙方应承担该次预算金额的30%的违约金。 6.以上所有招标要求及招标参数作为采购合同的有效组成部分，对中标单位具有法律约束力。 二、合同争议解决的方式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1.对供应商样品的要求。 投标单位须携带按招标文件参数制作样品参加招标会，投标单位样品会被留存对照验收。 2.服务要求： 2.1本次招标单价，每月根据采购单位计划制作数量进行申报制作。单价包含税、包装、运输、拆卸、安装、清理垃圾等一切费用。预算金额仅供参考，结付以实际发生金额为准。 2.2中标单位须将货物配送至采购单位库房，服从库管安排。所有搬运工作均由中标单位负责完成。所有进入采购单位的车辆及人员须报备 2.3采购单位提出采购的货物，必须由中标单位指定负责人来采购单位进行对接。中标单位须出具书面文件（负责人身份证须盖公司公章）明确1名负责人，由负责人与采购单位对接。中标单位不得擅自更换负责人，经采购单位同意后才能更换。为应对紧急事件，须中标单位明确1名应急联络人（与负责人不能为同一人），中标单位须出具书面文件（应急联系人身份证须盖公司公章），应急联络人与负责人须24小时保持手机畅通。在合同执行过程中须要供应商应执行的伴随服务的服务标准或应当履行的相关义务。 2.4如投标单位对招标货物有疑问无法确定，请提前联系采购单位解决，可参考采购单位现用实物。 3.履约保证金收取与退还： 乙方应当在中标通知书领取后五个工作日内将项目履约保证金（预算总金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质保期满一年无质量问题后，无息退还履约保证金。 4.供应商务必在开标截止时间30分钟前，通过项目电子化交易系统进行签到，如未进行签到，产生的后果由供应商自行承担。5.为顺利推进政府采购电子化交易平台试点应用工作，供应商需要在线提交所有通过电子化交易平台实施的政府采购项目的响应文件，同时，线下提交纸质响应文件正本一份、副本一份，电子版本一份（以U盘形式提供，文件格式包含.doc/.docx格式及正本盖章后扫描的.pdf格式），递交地址：亿诚建设项目管理有限公司，递交截止时间同在线递交电子响应文件截止时间一致。若电子响应文件与纸质响应文件不一致的，以纸质响应文件为准；若正本和副本不符，以正本为准。响应文件正、副本分别各自装订成册密封，在封口处加盖供应商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提供具有独立承担民事责任能力的法人或其他组织，提供合法有效的营业执照、税务登记证、组织机构代码证（三证合一的企业提供统一社会信用代码的营业执照）（原件的复印件加盖公章）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提供具有财务审计资质单位出具的2024年度审计报告或提供供应商基本存款账户信息及开标日期前90日内其基本存款账户开户银行出具的资信证明。以上形式的证明资料提供任何一种即可。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出具履行合同所必需的设备和专业技术能力的书面声明。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1.投标供应商近六个月内（投标截止时间前）任意1个月纳税证明材料：根据税务部门出具的完税凭证或纳税的银行转账汇款单、对账单等判定，如依法免税或不需要纳税的，提供相应证明材料。 2.投标供应商近六个月内（投标截止时间前）任意1个月缴纳社会保障金证明材料：根据银行转账汇款单或社保（税务）部门出具的缴纳社会保障金的凭证判定，证明材料应当显示险种和缴纳所属时期；不需要缴纳社会保障金的投标供应商，应当提供相关证明材料或书面声明。代缴社保证明材料不予认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书面声明.docx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投标人满足法律、行政法规规定的其他条件的书面声明。</w:t>
            </w:r>
          </w:p>
        </w:tc>
        <w:tc>
          <w:tcPr>
            <w:tcW w:type="dxa" w:w="1661"/>
          </w:tcPr>
          <w:p>
            <w:pPr>
              <w:pStyle w:val="null3"/>
            </w:pPr>
            <w:r>
              <w:rPr>
                <w:rFonts w:ascii="仿宋_GB2312" w:hAnsi="仿宋_GB2312" w:cs="仿宋_GB2312" w:eastAsia="仿宋_GB2312"/>
              </w:rPr>
              <w:t>书面声明.docx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在投标前6个月内（不含投标当月）任意3个月由投标人缴纳社保证明材料的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与投标人为同一人或存在直接控股或管理关系的不同供应商，未参加同一包采购活动。 投标人为生产型企业的，与投标人生产场经营地址或注册登记地址为同一地址的其他生产型企业，未参加同一包采购活动。 投标人为非国有销售型企业的，与投标人以及股东和管理人员（法定代表人、董事或监事）之间存在近亲属（指夫妻、直系血亲、三代以内旁系血亲或近姻亲关系）或相互占股等关联关系的其他非国有销售型企业，也未参加同一包采购活动。 投标人提供的业绩证明材料中，合同缔约方不存在控股或管理关系。</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关联关系承诺函.pdf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分项报价清单.docx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投标文件封面、投标函中体现的项目名称、项目编号与本项目一致，且符合招标文件签署盖章要求</w:t>
            </w:r>
          </w:p>
        </w:tc>
        <w:tc>
          <w:tcPr>
            <w:tcW w:type="dxa" w:w="1661"/>
          </w:tcPr>
          <w:p>
            <w:pPr>
              <w:pStyle w:val="null3"/>
            </w:pPr>
            <w:r>
              <w:rPr>
                <w:rFonts w:ascii="仿宋_GB2312" w:hAnsi="仿宋_GB2312" w:cs="仿宋_GB2312" w:eastAsia="仿宋_GB2312"/>
              </w:rPr>
              <w:t>开标一览表 产品技术参数表 分项报价清单.docx 投标函 书面声明.docx 中小企业声明函 残疾人福利性单位声明函 商务应答表 标的清单 投标文件封面 关联关系承诺函.pdf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分项报价清单.docx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审依据为供应商出具的技术参数偏离表；基本分（20 分），完全响应招标文件要求，满足采购需求没有负偏离的计基本分 20 分；技术指标每负偏离一项扣1分，扣完为止； 须提供具有CMA标志第三方检测机构出具的三种面料检测报告，检测报告须体现：甲醛（≤75mg/kg）、可分解致癌芳香胺染料（禁用）、异味（无）、pH（4.0~8.5）、水洗尺寸变化率、加耐氯漂色牢度（3-4）、耐水色牢度（≥4级）、耐皂洗色牢度。未提供以上材料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评标委员会根据投标人提供样品的颜色、做工细致程度、以及外观后的结实耐用性进行评审： 样品数量齐全，缝制做工细致，款式及外观结实、耐用性满足招标人实际需求的得10.1-15分； 样品数量齐全，做工相对细致，款式及外观结实且耐用性基本满足招标人实际需求的得5.1-10分； 样品数量齐全，但做工较差，款式及外观结实且耐用性无法达到招标人实际需求的得0.1-5分； 未提供样品或样品不全的得0分。 备注：（1）供应商须将所有样品全部装入1个箱子内（箱子外包装不得体现供应商名称、品牌商标及Logo），且不易破损，密封完好； （2）样品将在评审现场进行拆封，招标人对所提供的样品不承担任何费用。（3）招标人保留对投标人所投产品封样留存、送第三方检测机构或由参与本项目的其他供应商进行检验的权利。（4）中标供应商样品不退还，以便后期招标人送检以及同大货产品作对比。 （5）样品要求：①按招标文件要求参数制作样品参加开标会议，其中褥子只提供品目9（须印制院徽及蓝色尺寸标识）； ②右下角印院徽及标识，直径8cm，白色被服印蓝色logo；蓝色被服印白色logo。</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样品清单.docx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根据投标人拟投产品来源及渠道进行评审：产品进货渠道正常，提供所投产品来源渠道合法，能体现其完整供货链的证明文件（不限于销售协议、代理协议、原厂授权等），提供所有产品得2分，未提供或提供不完整的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根据投标人提供的拟投产品生产设备、加工保障措施，以及能够保障产品质量安全的保障措施进行评审：保障措施科学、合理，可行性高完全满足项目要求的得4.1-7分； 保障措施合理、不完整，基本能满足项目要求的得2.1-4分； 保障措施有较多欠缺的得0.1-2分； 未提供相关保障措施的得0分；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供货实施方案1</w:t>
            </w:r>
          </w:p>
        </w:tc>
        <w:tc>
          <w:tcPr>
            <w:tcW w:type="dxa" w:w="2492"/>
          </w:tcPr>
          <w:p>
            <w:pPr>
              <w:pStyle w:val="null3"/>
            </w:pPr>
            <w:r>
              <w:rPr>
                <w:rFonts w:ascii="仿宋_GB2312" w:hAnsi="仿宋_GB2312" w:cs="仿宋_GB2312" w:eastAsia="仿宋_GB2312"/>
              </w:rPr>
              <w:t>根据投标人针对本项目提供的供货实施方案、配送团队配置情况，做出合理计划及制订工作保障措施，进行评审：实施方案完整、科学合理、操作性强，拟派供应及配送项目负责人的经验丰富，协调能力强的得4.1-6分； 实施方案粗略，可执行性差，缺项、漏项，拟派供应及配送项目负责人的经验、协调能力一般的得2.1-4分；保障措施有较多欠缺，拟派供应及配送项目负责人无经验的得0.1-2分；未提供的得0分。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服务标准：服务标准内容细化、清晰明了完全贴合项目特点的得3.1-5分； 内容简单、特点不明确的得0-2分；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根据投标人提供的验收方案(符合招标文件的要求及参照所提供样品的质量等内容）进行评审： 验收方案详细可行，有针对性，完全满足项目要求的得3.1-5分； 验收方案完整合理，有一定的可行性，基本能满足项目要求的得1.1-3分； 验收方案有较多欠缺的得0.1-1分。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投标文件中提供该投标人自2022年06月01日起至今的同类项目业绩证明材料，每提供一份业绩合同得2分，满分为10分，不得重复累计。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11-类似项目业绩表.pdf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投标人自主填报投标报价，其投标报价均不得超过本项目招标文件采购清单中规定的每一个品目的单价最高限价，否则按照无效投标处理。 投标报价采用低价优先法计算，即满足本项目招标文件要求且各单品目投标报价之和最低的报价为评审基准价，其价格分为满分。 投标人的价格分统一按照下列公式计算： 投标报价=各单个品目的投标报价（单价）之和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详见附件：11-类似项目业绩表.pdf</w:t>
      </w:r>
    </w:p>
    <w:p>
      <w:pPr>
        <w:pStyle w:val="null3"/>
        <w:ind w:firstLine="960"/>
      </w:pPr>
      <w:r>
        <w:rPr>
          <w:rFonts w:ascii="仿宋_GB2312" w:hAnsi="仿宋_GB2312" w:cs="仿宋_GB2312" w:eastAsia="仿宋_GB2312"/>
        </w:rPr>
        <w:t>详见附件：关联关系承诺函.pdf</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详见附件：方案.pdf</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详见附件：样品清单.docx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