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81FC2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52"/>
          <w:szCs w:val="52"/>
        </w:rPr>
      </w:pPr>
    </w:p>
    <w:p w14:paraId="62D1E563">
      <w:pPr>
        <w:jc w:val="center"/>
        <w:rPr>
          <w:rFonts w:hint="eastAsia" w:ascii="楷体" w:hAnsi="楷体" w:eastAsia="楷体" w:cs="楷体"/>
          <w:b/>
          <w:bCs/>
          <w:color w:val="auto"/>
          <w:sz w:val="40"/>
          <w:szCs w:val="48"/>
        </w:rPr>
      </w:pPr>
      <w:bookmarkStart w:id="3" w:name="_GoBack"/>
      <w:bookmarkEnd w:id="3"/>
      <w:r>
        <w:rPr>
          <w:rFonts w:hint="eastAsia" w:asciiTheme="minorEastAsia" w:hAnsiTheme="minorEastAsia" w:cstheme="minorEastAsia"/>
          <w:b/>
          <w:bCs/>
          <w:color w:val="auto"/>
          <w:sz w:val="48"/>
          <w:szCs w:val="48"/>
          <w:lang w:eastAsia="zh-CN"/>
        </w:rPr>
        <w:t>执法办案支出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52"/>
          <w:szCs w:val="52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z w:val="40"/>
          <w:szCs w:val="48"/>
        </w:rPr>
        <w:t xml:space="preserve">  </w:t>
      </w:r>
    </w:p>
    <w:p w14:paraId="249538E5">
      <w:pPr>
        <w:jc w:val="center"/>
        <w:rPr>
          <w:rFonts w:hint="eastAsia" w:ascii="楷体" w:hAnsi="楷体" w:eastAsia="楷体" w:cs="楷体"/>
          <w:b/>
          <w:bCs/>
          <w:color w:val="auto"/>
          <w:sz w:val="40"/>
          <w:szCs w:val="48"/>
        </w:rPr>
      </w:pPr>
    </w:p>
    <w:p w14:paraId="52F48D6E">
      <w:pPr>
        <w:jc w:val="center"/>
        <w:rPr>
          <w:rFonts w:hint="eastAsia" w:ascii="楷体" w:hAnsi="楷体" w:eastAsia="楷体" w:cs="楷体"/>
          <w:b/>
          <w:bCs/>
          <w:color w:val="auto"/>
          <w:sz w:val="52"/>
          <w:szCs w:val="72"/>
        </w:rPr>
      </w:pPr>
    </w:p>
    <w:p w14:paraId="46E9A7EE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52"/>
          <w:szCs w:val="7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52"/>
          <w:szCs w:val="72"/>
        </w:rPr>
        <w:t>采购合同</w:t>
      </w:r>
    </w:p>
    <w:p w14:paraId="04A97368">
      <w:pPr>
        <w:jc w:val="center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成交供应商和采购人也可根据项目特点自行拟定合同条款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>）</w:t>
      </w:r>
    </w:p>
    <w:p w14:paraId="7E86B830">
      <w:pPr>
        <w:spacing w:before="156" w:beforeLines="50" w:line="400" w:lineRule="exact"/>
        <w:jc w:val="center"/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262BED09">
      <w:pPr>
        <w:spacing w:before="156" w:beforeLines="50" w:line="400" w:lineRule="exact"/>
        <w:jc w:val="center"/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7ECB4CE5">
      <w:pPr>
        <w:pStyle w:val="10"/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20172D3E">
      <w:pPr>
        <w:pStyle w:val="7"/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0F459BC7">
      <w:pPr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2DA48F8A">
      <w:pPr>
        <w:pStyle w:val="2"/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55A51AEF">
      <w:pPr>
        <w:rPr>
          <w:rFonts w:hint="eastAsia" w:ascii="楷体" w:hAnsi="楷体" w:eastAsia="楷体" w:cs="楷体"/>
          <w:bCs/>
          <w:color w:val="auto"/>
          <w:sz w:val="48"/>
          <w:szCs w:val="48"/>
        </w:rPr>
      </w:pPr>
    </w:p>
    <w:p w14:paraId="7AFD33D5">
      <w:pPr>
        <w:pStyle w:val="2"/>
        <w:rPr>
          <w:rFonts w:hint="eastAsia"/>
        </w:rPr>
      </w:pPr>
    </w:p>
    <w:p w14:paraId="19E8B91C">
      <w:pPr>
        <w:pStyle w:val="7"/>
        <w:rPr>
          <w:rFonts w:hint="eastAsia" w:ascii="宋体" w:hAnsi="宋体" w:eastAsia="宋体" w:cs="宋体"/>
          <w:bCs/>
          <w:color w:val="auto"/>
          <w:sz w:val="48"/>
          <w:szCs w:val="48"/>
        </w:rPr>
      </w:pPr>
    </w:p>
    <w:p w14:paraId="47C2BE3A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4" w:lineRule="exact"/>
        <w:ind w:left="0" w:leftChars="0" w:right="0" w:firstLine="2520" w:firstLineChars="9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val="en-US" w:eastAsia="zh-CN" w:bidi="en-US"/>
        </w:rPr>
      </w:pPr>
      <w:bookmarkStart w:id="0" w:name="_Toc13573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t>甲方：</w:t>
      </w:r>
      <w:bookmarkEnd w:id="0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val="en-US" w:eastAsia="zh-CN"/>
        </w:rPr>
        <w:t xml:space="preserve"> </w:t>
      </w:r>
    </w:p>
    <w:p w14:paraId="5972B6C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4" w:lineRule="exact"/>
        <w:ind w:left="0" w:leftChars="0" w:right="0" w:firstLine="2520" w:firstLineChars="9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eastAsia="zh-CN"/>
        </w:rPr>
      </w:pPr>
      <w:bookmarkStart w:id="1" w:name="_Toc25729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t>乙方：</w:t>
      </w:r>
      <w:bookmarkEnd w:id="1"/>
    </w:p>
    <w:p w14:paraId="10A5F4B4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4" w:lineRule="exact"/>
        <w:ind w:left="0" w:right="0" w:firstLine="20"/>
        <w:jc w:val="center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</w:pPr>
    </w:p>
    <w:p w14:paraId="383D2D8B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4" w:lineRule="exact"/>
        <w:ind w:left="0" w:right="0" w:firstLine="20"/>
        <w:jc w:val="center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</w:pPr>
    </w:p>
    <w:p w14:paraId="458BDF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</w:pPr>
      <w:bookmarkStart w:id="2" w:name="_Toc5399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val="en-US" w:eastAsia="en-US" w:bidi="en-US"/>
        </w:rPr>
        <w:t>202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val="en-US" w:eastAsia="zh-CN" w:bidi="en-US"/>
        </w:rPr>
        <w:t>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  <w:highlight w:val="none"/>
        </w:rPr>
        <w:t>中国西安</w:t>
      </w:r>
      <w:bookmarkEnd w:id="2"/>
    </w:p>
    <w:p w14:paraId="35BBCEEB">
      <w:pPr>
        <w:spacing w:before="156" w:beforeLines="50" w:line="400" w:lineRule="exact"/>
        <w:jc w:val="center"/>
        <w:rPr>
          <w:rFonts w:hint="eastAsia" w:ascii="楷体" w:hAnsi="楷体" w:eastAsia="楷体" w:cs="楷体"/>
          <w:b/>
          <w:bCs/>
          <w:color w:val="auto"/>
          <w:sz w:val="36"/>
          <w:szCs w:val="32"/>
        </w:rPr>
      </w:pPr>
      <w:r>
        <w:rPr>
          <w:rFonts w:hint="eastAsia" w:ascii="楷体" w:hAnsi="楷体" w:eastAsia="楷体" w:cs="楷体"/>
          <w:bCs/>
          <w:color w:val="auto"/>
          <w:sz w:val="48"/>
          <w:szCs w:val="48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2"/>
        </w:rPr>
        <w:t>第一部分  协议书</w:t>
      </w:r>
    </w:p>
    <w:p w14:paraId="46E52D08">
      <w:pPr>
        <w:spacing w:before="156" w:beforeLines="50" w:line="360" w:lineRule="exact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</w:p>
    <w:p w14:paraId="6833C13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采购人（全称）：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；</w:t>
      </w:r>
    </w:p>
    <w:p w14:paraId="750F9A7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（全称）：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；</w:t>
      </w:r>
    </w:p>
    <w:p w14:paraId="5F6E1B3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10147115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一、项目概况</w:t>
      </w:r>
    </w:p>
    <w:p w14:paraId="61F91FB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</w:t>
      </w:r>
    </w:p>
    <w:p w14:paraId="40E29EF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；                                                   </w:t>
      </w:r>
    </w:p>
    <w:p w14:paraId="1BE664A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40244166">
      <w:pPr>
        <w:ind w:firstLine="482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产品名称、品牌、型号、数量及金额</w:t>
      </w:r>
    </w:p>
    <w:tbl>
      <w:tblPr>
        <w:tblStyle w:val="1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488"/>
        <w:gridCol w:w="957"/>
        <w:gridCol w:w="1490"/>
        <w:gridCol w:w="1150"/>
        <w:gridCol w:w="577"/>
        <w:gridCol w:w="568"/>
        <w:gridCol w:w="1630"/>
      </w:tblGrid>
      <w:tr w14:paraId="7C0A2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712536B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638" w:type="dxa"/>
            <w:vAlign w:val="center"/>
          </w:tcPr>
          <w:p w14:paraId="6939CA4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产品名称（或项目名称）</w:t>
            </w:r>
          </w:p>
        </w:tc>
        <w:tc>
          <w:tcPr>
            <w:tcW w:w="1051" w:type="dxa"/>
            <w:vAlign w:val="center"/>
          </w:tcPr>
          <w:p w14:paraId="5F3F658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品牌</w:t>
            </w:r>
          </w:p>
        </w:tc>
        <w:tc>
          <w:tcPr>
            <w:tcW w:w="1680" w:type="dxa"/>
            <w:vAlign w:val="center"/>
          </w:tcPr>
          <w:p w14:paraId="768D8F1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规格型号</w:t>
            </w:r>
          </w:p>
        </w:tc>
        <w:tc>
          <w:tcPr>
            <w:tcW w:w="1199" w:type="dxa"/>
            <w:vAlign w:val="center"/>
          </w:tcPr>
          <w:p w14:paraId="1152D58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单价（元）</w:t>
            </w:r>
          </w:p>
        </w:tc>
        <w:tc>
          <w:tcPr>
            <w:tcW w:w="602" w:type="dxa"/>
            <w:vAlign w:val="center"/>
          </w:tcPr>
          <w:p w14:paraId="666703B0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数量</w:t>
            </w:r>
          </w:p>
        </w:tc>
        <w:tc>
          <w:tcPr>
            <w:tcW w:w="592" w:type="dxa"/>
            <w:vAlign w:val="center"/>
          </w:tcPr>
          <w:p w14:paraId="7A07F172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单位</w:t>
            </w:r>
          </w:p>
        </w:tc>
        <w:tc>
          <w:tcPr>
            <w:tcW w:w="1766" w:type="dxa"/>
            <w:vAlign w:val="center"/>
          </w:tcPr>
          <w:p w14:paraId="457538B1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小计（元）</w:t>
            </w:r>
          </w:p>
        </w:tc>
      </w:tr>
      <w:tr w14:paraId="7A727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2841217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5148F844"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14:paraId="2114572E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6DDBFF29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1617567B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14:paraId="07C63FF8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4882EFBA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7408420C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03A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447C2B4C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417488C"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14:paraId="38FB6B4C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2B395311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2810F81B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14:paraId="3C5D0B2B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52843AAA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2DE89730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A84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64319407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9107833"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14:paraId="2D97243C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257FFC6A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2B3BB34E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14:paraId="7A87B6B8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1613FDFB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46C32210">
            <w:pPr>
              <w:pStyle w:val="5"/>
              <w:jc w:val="center"/>
              <w:outlineLvl w:val="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BA1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15605637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373E0EC"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14:paraId="1F3F716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B851E4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001E12ED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14:paraId="2AC51AA0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4811786B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3E0FC85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E31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 w14:paraId="007A1A5A"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6122260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合计金额</w:t>
            </w:r>
          </w:p>
        </w:tc>
        <w:tc>
          <w:tcPr>
            <w:tcW w:w="6890" w:type="dxa"/>
            <w:gridSpan w:val="6"/>
            <w:vAlign w:val="center"/>
          </w:tcPr>
          <w:p w14:paraId="4A2BE0CB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   （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</w:tr>
    </w:tbl>
    <w:p w14:paraId="435E5D9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</w:t>
      </w:r>
    </w:p>
    <w:p w14:paraId="111DC9A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二、组成本合同的文件</w:t>
      </w:r>
    </w:p>
    <w:p w14:paraId="69C305F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协议书；</w:t>
      </w:r>
    </w:p>
    <w:p w14:paraId="257C82D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中标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通知书、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、澄清、补充文件（或委托书）；</w:t>
      </w:r>
    </w:p>
    <w:p w14:paraId="64F208F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相关服务建议书；</w:t>
      </w:r>
    </w:p>
    <w:p w14:paraId="17E42DC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 附录，即：附表内相关服务的范围和内容；</w:t>
      </w:r>
    </w:p>
    <w:p w14:paraId="57BFEF9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本合同签订后，双方依法签订的补充协议也是本合同文件的组成部分。</w:t>
      </w:r>
    </w:p>
    <w:p w14:paraId="7553113D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三、合同价款</w:t>
      </w:r>
    </w:p>
    <w:p w14:paraId="0F915DF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（￥       ）。</w:t>
      </w:r>
    </w:p>
    <w:p w14:paraId="7CEBB81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2.合同总价即中标价，不受市场价变化或实际工作量变化的影响。</w:t>
      </w:r>
    </w:p>
    <w:p w14:paraId="3C0BA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四、项目实施地点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采购人指定地点；</w:t>
      </w:r>
    </w:p>
    <w:p w14:paraId="6E234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交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货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期限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自合同签订生效之日起50日历天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内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完成供货、安装及调试，并交付采购人验收合格；</w:t>
      </w:r>
    </w:p>
    <w:p w14:paraId="6F9E1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 年，在此期间如果软件产品须进行升级，供应商需提供免费升级服务。</w:t>
      </w:r>
    </w:p>
    <w:p w14:paraId="035326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付款方式：</w:t>
      </w:r>
    </w:p>
    <w:p w14:paraId="0E9A20DE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付款条件说明：自合同签订后，达到付款条件起10日内，支付合同总金额的 50.00%。</w:t>
      </w:r>
    </w:p>
    <w:p w14:paraId="49E930E7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付款条件说明：项目完成安装、调试、交付并终验收合格后，达到付款条件起10日内，支付合同总金额的 50.00%。</w:t>
      </w:r>
    </w:p>
    <w:p w14:paraId="6007F7BC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六、质量保证：</w:t>
      </w:r>
    </w:p>
    <w:p w14:paraId="550F3ED9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提供的产品及材料必须保证质量可靠，进货渠道正常，配置合理齐全，应全面满足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的要求，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未明确要求的内容，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须按招标产品主流标准配置或以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的补充要求为准。所供产品工艺质量应严格按国家最新发布的规范标准执行，如发生质量问题由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承担全部责任。</w:t>
      </w:r>
    </w:p>
    <w:p w14:paraId="67BBDEE9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应保证所有产品的完好无损包括配套包装，如有缺漏、损坏，由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负责调换、补齐或赔偿。</w:t>
      </w:r>
    </w:p>
    <w:p w14:paraId="4E6CC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必须严格按照需方要求和国家颁布的有关技术规范标准提供货物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。</w:t>
      </w:r>
    </w:p>
    <w:p w14:paraId="55BD0EC4"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七、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考核验收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7ED42B2D"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（一）现场验收：产品及其备附件到达采购人指定地点后，采购人根据合同要求，在成交供应商和采购人相关负责人双方同时在场的情况下，进行外观验收，确认产地、规格、型号和数量。</w:t>
      </w:r>
    </w:p>
    <w:p w14:paraId="30AD139A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（二）安装调试：成交供应商应配合采购人的工期要求，负责在现场对产品进行安装、调试和试运行，直至验收合格。成交供应商应提供全部安装、调试过程中所需的材料、设施设备、人工等。</w:t>
      </w:r>
    </w:p>
    <w:p w14:paraId="16F3DD1F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（三）最终验收：产品安装调试和运行后，由成交供应商向采购人递交产品安装调试记录，经采购人确认后，组织成交供应商进行系统验收。验收合格后，填写政府采购项目验收单作为对产品的最终认可。</w:t>
      </w:r>
    </w:p>
    <w:p w14:paraId="790EB000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（四）验收依据</w:t>
      </w:r>
    </w:p>
    <w:p w14:paraId="188E5060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1、</w:t>
      </w:r>
      <w:r>
        <w:rPr>
          <w:rFonts w:hint="eastAsia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文件、</w:t>
      </w:r>
      <w:r>
        <w:rPr>
          <w:rFonts w:hint="eastAsia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磋商响应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文件、澄清表（函）；</w:t>
      </w:r>
    </w:p>
    <w:p w14:paraId="7608027C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2、合同及附件文本；</w:t>
      </w:r>
    </w:p>
    <w:p w14:paraId="2F53DC41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3、合同签订时国家及行业现行的标准和技术规范。</w:t>
      </w:r>
    </w:p>
    <w:p w14:paraId="126E904B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（五）成交供应商应向采购人提交项目实施过程中的所有资料，以便采购人日后管理和维护。</w:t>
      </w:r>
    </w:p>
    <w:p w14:paraId="52944F7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八、违约责任：</w:t>
      </w:r>
    </w:p>
    <w:p w14:paraId="4AF2237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1.按《中华人民共和国政府采购法》、《中华人民共和国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》中的相关条款执行。</w:t>
      </w:r>
    </w:p>
    <w:p w14:paraId="75E261B5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2.未按合同或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要求提供产品或供应的产品质量不能满足采购人技术要求，采购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有权终止合同，甚至对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标人违约行为进行追究。</w:t>
      </w:r>
    </w:p>
    <w:p w14:paraId="4BE5F2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标人的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为签订正式书面合同书不可分割的部分，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应履行相应的责任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53742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、合同争议的解决</w:t>
      </w:r>
    </w:p>
    <w:p w14:paraId="02F93C5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合同执行中发生争议的，当事人双方应协商解决，协商达不成一致时，可向采购人所在地人民法院提请诉讼。</w:t>
      </w:r>
    </w:p>
    <w:p w14:paraId="094BF4FC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十、不可抗力情况下的免责约定</w:t>
      </w:r>
    </w:p>
    <w:p w14:paraId="1C5B79A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315A60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、其他（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在合同中具体明确）</w:t>
      </w:r>
    </w:p>
    <w:p w14:paraId="07CF36A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、合同订立</w:t>
      </w:r>
    </w:p>
    <w:p w14:paraId="7ADC5A9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日。</w:t>
      </w:r>
    </w:p>
    <w:p w14:paraId="4339829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5CBE3FC0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份，监管部门备案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贰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份。各方签字盖章后生效，合同执行完毕自动失效。（合同的服务承诺则长期有效）。</w:t>
      </w:r>
    </w:p>
    <w:p w14:paraId="4121B4EE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本页以下无正文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）</w:t>
      </w:r>
    </w:p>
    <w:p w14:paraId="724541BC">
      <w:pPr>
        <w:pStyle w:val="10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CB5E0D3">
      <w:pPr>
        <w:pStyle w:val="7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55B22CD4">
      <w:pPr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1965F27E">
      <w:pPr>
        <w:pStyle w:val="10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52CDC59F">
      <w:pPr>
        <w:pStyle w:val="7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2AE67B26">
      <w:pPr>
        <w:rPr>
          <w:rFonts w:hint="eastAsia"/>
        </w:rPr>
      </w:pPr>
    </w:p>
    <w:p w14:paraId="743AA8E4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甲  方（公章）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乙  方（公章）         </w:t>
      </w:r>
    </w:p>
    <w:p w14:paraId="25619BDA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单位名称：                    单位名称：                </w:t>
      </w:r>
    </w:p>
    <w:p w14:paraId="5029E460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地    址：                    地    址：               </w:t>
      </w:r>
    </w:p>
    <w:p w14:paraId="7541EC7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代 理 人：                    代 理 人：              </w:t>
      </w:r>
    </w:p>
    <w:p w14:paraId="7307F72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联系电话：                    联系电话：               </w:t>
      </w:r>
    </w:p>
    <w:p w14:paraId="106F861A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号：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号：</w:t>
      </w:r>
    </w:p>
    <w:p w14:paraId="2E45391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开户银行：                    开户银行： </w:t>
      </w:r>
    </w:p>
    <w:p w14:paraId="01BB694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签订日期：                    签订日期：              </w:t>
      </w:r>
    </w:p>
    <w:p w14:paraId="0A5E79E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jc w:val="both"/>
        <w:textAlignment w:val="auto"/>
        <w:outlineLvl w:val="9"/>
        <w:rPr>
          <w:rStyle w:val="22"/>
          <w:rFonts w:hint="eastAsia" w:ascii="宋体" w:hAnsi="宋体" w:eastAsia="宋体" w:cs="宋体"/>
          <w:color w:val="auto"/>
          <w:sz w:val="24"/>
          <w:szCs w:val="24"/>
        </w:rPr>
      </w:pPr>
    </w:p>
    <w:p w14:paraId="5E2D63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7C9A0"/>
    <w:multiLevelType w:val="singleLevel"/>
    <w:tmpl w:val="65C7C9A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368D"/>
    <w:rsid w:val="0002368D"/>
    <w:rsid w:val="00EB64F7"/>
    <w:rsid w:val="013712F7"/>
    <w:rsid w:val="040C25C7"/>
    <w:rsid w:val="067F693B"/>
    <w:rsid w:val="0B963AEC"/>
    <w:rsid w:val="0E6B438E"/>
    <w:rsid w:val="0FD541B5"/>
    <w:rsid w:val="12CF1390"/>
    <w:rsid w:val="148A7C64"/>
    <w:rsid w:val="206770AC"/>
    <w:rsid w:val="209D487B"/>
    <w:rsid w:val="22D16A5E"/>
    <w:rsid w:val="2E0C3364"/>
    <w:rsid w:val="328533C1"/>
    <w:rsid w:val="37F54B45"/>
    <w:rsid w:val="39382D1D"/>
    <w:rsid w:val="3AB605BC"/>
    <w:rsid w:val="3C232CEC"/>
    <w:rsid w:val="3D491BBB"/>
    <w:rsid w:val="3EC768F4"/>
    <w:rsid w:val="41322966"/>
    <w:rsid w:val="41673C9E"/>
    <w:rsid w:val="43776D56"/>
    <w:rsid w:val="4F7D56F4"/>
    <w:rsid w:val="571903F8"/>
    <w:rsid w:val="5C0D1BAE"/>
    <w:rsid w:val="5F342B25"/>
    <w:rsid w:val="60194FC5"/>
    <w:rsid w:val="639A229E"/>
    <w:rsid w:val="69D65CD5"/>
    <w:rsid w:val="69F10D61"/>
    <w:rsid w:val="6AAD1319"/>
    <w:rsid w:val="706627F5"/>
    <w:rsid w:val="71F202A4"/>
    <w:rsid w:val="73AB01D2"/>
    <w:rsid w:val="79DC6166"/>
    <w:rsid w:val="7B340AAD"/>
    <w:rsid w:val="7E2573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Normal Indent"/>
    <w:basedOn w:val="1"/>
    <w:next w:val="1"/>
    <w:unhideWhenUsed/>
    <w:qFormat/>
    <w:uiPriority w:val="99"/>
    <w:pPr>
      <w:ind w:firstLine="420" w:firstLineChars="200"/>
    </w:pPr>
    <w:rPr>
      <w:rFonts w:ascii="宋体" w:hAnsi="Times New Roman" w:eastAsia="宋体" w:cs="Times New Roman"/>
      <w:kern w:val="0"/>
      <w:sz w:val="24"/>
      <w:szCs w:val="20"/>
    </w:rPr>
  </w:style>
  <w:style w:type="paragraph" w:styleId="7">
    <w:name w:val="Body Text"/>
    <w:basedOn w:val="1"/>
    <w:next w:val="1"/>
    <w:link w:val="17"/>
    <w:qFormat/>
    <w:uiPriority w:val="1"/>
    <w:rPr>
      <w:rFonts w:ascii="Times New Roman" w:hAnsi="Times New Roman" w:eastAsia="Times New Roman" w:cs="Times New Roman"/>
      <w:sz w:val="22"/>
      <w:lang w:val="zh-CN" w:bidi="zh-CN"/>
    </w:rPr>
  </w:style>
  <w:style w:type="paragraph" w:styleId="8">
    <w:name w:val="Body Text Indent"/>
    <w:basedOn w:val="1"/>
    <w:link w:val="18"/>
    <w:qFormat/>
    <w:uiPriority w:val="0"/>
    <w:pPr>
      <w:ind w:firstLine="360"/>
    </w:pPr>
    <w:rPr>
      <w:rFonts w:hAnsi="Calibri" w:eastAsia="宋体" w:cs="Times New Roman"/>
      <w:sz w:val="24"/>
    </w:rPr>
  </w:style>
  <w:style w:type="paragraph" w:styleId="9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10">
    <w:name w:val="footer"/>
    <w:basedOn w:val="1"/>
    <w:next w:val="7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1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basedOn w:val="14"/>
    <w:link w:val="4"/>
    <w:semiHidden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kern w:val="0"/>
      <w:sz w:val="22"/>
      <w:szCs w:val="21"/>
      <w:lang w:val="en-US" w:eastAsia="zh-CN" w:bidi="ar-SA"/>
    </w:rPr>
  </w:style>
  <w:style w:type="character" w:customStyle="1" w:styleId="17">
    <w:name w:val="正文文本 Char"/>
    <w:basedOn w:val="14"/>
    <w:link w:val="7"/>
    <w:qFormat/>
    <w:uiPriority w:val="1"/>
    <w:rPr>
      <w:rFonts w:ascii="Times New Roman" w:hAnsi="Times New Roman" w:eastAsia="Times New Roman" w:cs="Times New Roman"/>
      <w:sz w:val="22"/>
      <w:lang w:val="zh-CN" w:bidi="zh-CN"/>
    </w:rPr>
  </w:style>
  <w:style w:type="character" w:customStyle="1" w:styleId="18">
    <w:name w:val="正文文本缩进 Char"/>
    <w:basedOn w:val="14"/>
    <w:link w:val="8"/>
    <w:qFormat/>
    <w:uiPriority w:val="0"/>
    <w:rPr>
      <w:rFonts w:hAnsi="Calibri" w:eastAsia="宋体" w:cs="Times New Roman"/>
      <w:sz w:val="24"/>
    </w:rPr>
  </w:style>
  <w:style w:type="character" w:customStyle="1" w:styleId="19">
    <w:name w:val="纯文本 Char"/>
    <w:basedOn w:val="14"/>
    <w:link w:val="9"/>
    <w:qFormat/>
    <w:uiPriority w:val="0"/>
    <w:rPr>
      <w:rFonts w:ascii="宋体" w:hAnsi="Courier New" w:cs="Courier New"/>
      <w:szCs w:val="21"/>
    </w:rPr>
  </w:style>
  <w:style w:type="paragraph" w:customStyle="1" w:styleId="20">
    <w:name w:val="null3"/>
    <w:hidden/>
    <w:qFormat/>
    <w:uiPriority w:val="0"/>
    <w:rPr>
      <w:rFonts w:ascii="宋体" w:hAnsi="宋体" w:eastAsia="宋体" w:cstheme="minorBidi"/>
      <w:b/>
      <w:kern w:val="0"/>
      <w:sz w:val="20"/>
      <w:szCs w:val="20"/>
      <w:lang w:val="en-US" w:eastAsia="zh-CN" w:bidi="en-US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2">
    <w:name w:val="标题 1 Char"/>
    <w:link w:val="3"/>
    <w:qFormat/>
    <w:uiPriority w:val="0"/>
    <w:rPr>
      <w:rFonts w:ascii="仿宋_GB2312" w:hAnsi="宋体" w:eastAsia="仿宋_GB2312"/>
      <w:b/>
      <w:kern w:val="2"/>
      <w:sz w:val="32"/>
    </w:rPr>
  </w:style>
  <w:style w:type="paragraph" w:customStyle="1" w:styleId="23">
    <w:name w:val="Body text|4"/>
    <w:basedOn w:val="1"/>
    <w:qFormat/>
    <w:uiPriority w:val="0"/>
    <w:pPr>
      <w:widowControl w:val="0"/>
      <w:shd w:val="clear" w:color="auto" w:fill="auto"/>
      <w:spacing w:line="410" w:lineRule="exact"/>
      <w:ind w:firstLine="68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1657</Words>
  <Characters>1688</Characters>
  <Lines>79</Lines>
  <Paragraphs>22</Paragraphs>
  <TotalTime>3</TotalTime>
  <ScaleCrop>false</ScaleCrop>
  <LinksUpToDate>false</LinksUpToDate>
  <CharactersWithSpaces>2370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2025-05-18T11:27:00Z</dcterms:created>
  <dc:creator>Windows 用户</dc:creator>
  <cp:lastModifiedBy>WPS_1698309818</cp:lastModifiedBy>
  <dcterms:modified xsi:type="dcterms:W3CDTF">2025-06-25T09:53:57Z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eyJoZGlkIjoiYWNlZDgxNjAwZTA2NmQyZWM5YmEzZGY2MWNmYjliNTEiLCJ1c2VySWQiOiIxNTUyNjAyNTI5In0=</vt:lpwstr>
  </property>
  <property fmtid="{D5CDD505-2E9C-101B-9397-08002B2CF9AE}" pid="3" name="KSOProductBuildVer">
    <vt:lpwstr>2052-12.1.0.21541</vt:lpwstr>
  </property>
  <property fmtid="{D5CDD505-2E9C-101B-9397-08002B2CF9AE}" pid="4" name="ICV">
    <vt:lpwstr>0D373C61DA8C472D87979D342C52BEDE_12</vt:lpwstr>
  </property>
</Properties>
</file>