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ECAD7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1" w:name="_GoBack"/>
      <w:bookmarkStart w:id="0" w:name="_Toc26827"/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（合同）商务</w:t>
      </w:r>
      <w:r>
        <w:rPr>
          <w:rFonts w:hint="eastAsia" w:ascii="仿宋" w:hAnsi="仿宋" w:eastAsia="仿宋" w:cs="仿宋"/>
          <w:color w:val="auto"/>
          <w:highlight w:val="none"/>
        </w:rPr>
        <w:t>主要条款响应偏差表</w:t>
      </w:r>
      <w:bookmarkEnd w:id="0"/>
    </w:p>
    <w:bookmarkEnd w:id="1"/>
    <w:p w14:paraId="48064AF6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</w:t>
      </w:r>
    </w:p>
    <w:tbl>
      <w:tblPr>
        <w:tblStyle w:val="20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744AFF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1B725D1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010FD8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296E22D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6AB0B5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磋商文件</w:t>
            </w:r>
          </w:p>
          <w:p w14:paraId="18112CE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（合同）商务主要条款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13" w:type="dxa"/>
            <w:noWrap w:val="0"/>
            <w:vAlign w:val="center"/>
          </w:tcPr>
          <w:p w14:paraId="2B6A049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磋商响应文件</w:t>
            </w:r>
          </w:p>
          <w:p w14:paraId="6AA5B1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（合同）商务主要条款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25" w:type="dxa"/>
            <w:noWrap w:val="0"/>
            <w:vAlign w:val="center"/>
          </w:tcPr>
          <w:p w14:paraId="1307472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38" w:type="dxa"/>
            <w:noWrap w:val="0"/>
            <w:vAlign w:val="center"/>
          </w:tcPr>
          <w:p w14:paraId="7AFB24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644EDC0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0BCB3F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D6D319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2A6C0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BF25A9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3D54941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EF6FC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0E70552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D8E3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270630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83A05D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BCDF0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300B120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00ED16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7E54F0A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28A4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22EC80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993DEA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B41C3A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0DB3C46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9030DE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252C04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AD188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546EE5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84B36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11DCCE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6240C2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156929B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7F98036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5CF3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5E9FA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40AF26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A1F82D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vAlign w:val="top"/>
          </w:tcPr>
          <w:p w14:paraId="20327D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05A7D34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8" w:type="dxa"/>
            <w:noWrap w:val="0"/>
            <w:vAlign w:val="top"/>
          </w:tcPr>
          <w:p w14:paraId="228C5A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1052268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19B09BD5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54A7856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2、供应商必须据实填写，不得虚假响应，否则将取消其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资格，并按有关规定进处罚。</w:t>
      </w:r>
    </w:p>
    <w:p w14:paraId="4DE4086C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24678A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7354CEAD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4BA58F22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04682510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EEF43D0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2025-06-27T06:58:58Z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D1C455E9131F44F5956B55177C79ECD8_13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