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版本号：GCCS25-021(二次)20250627001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幸福河西铜公路至阳光大道桥段设施维修维护项目(二次)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GCCS25-021(二次)</w:t>
      </w:r>
      <w:r>
        <w:br/>
      </w:r>
      <w:r>
        <w:br/>
      </w:r>
      <w:r>
        <w:br/>
      </w:r>
    </w:p>
    <w:p>
      <w:pPr>
        <w:pStyle w:val="null3"/>
        <w:jc w:val="center"/>
        <w:outlineLvl w:val="2"/>
      </w:pPr>
      <w:r>
        <w:rPr>
          <w:rFonts w:ascii="仿宋_GB2312" w:hAnsi="仿宋_GB2312" w:cs="仿宋_GB2312" w:eastAsia="仿宋_GB2312"/>
          <w:sz w:val="28"/>
          <w:b/>
        </w:rPr>
        <w:t>西安市西北郊城市排洪渠道管理中心</w:t>
      </w:r>
    </w:p>
    <w:p>
      <w:pPr>
        <w:pStyle w:val="null3"/>
        <w:jc w:val="center"/>
        <w:outlineLvl w:val="2"/>
      </w:pPr>
      <w:r>
        <w:rPr>
          <w:rFonts w:ascii="仿宋_GB2312" w:hAnsi="仿宋_GB2312" w:cs="仿宋_GB2312" w:eastAsia="仿宋_GB2312"/>
          <w:sz w:val="28"/>
          <w:b/>
        </w:rPr>
        <w:t>陕西国采项目管理有限公司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西安市西北郊城市排洪渠道管理中心</w:t>
      </w:r>
      <w:r>
        <w:rPr>
          <w:rFonts w:ascii="仿宋_GB2312" w:hAnsi="仿宋_GB2312" w:cs="仿宋_GB2312" w:eastAsia="仿宋_GB2312"/>
        </w:rPr>
        <w:t>委托，拟对</w:t>
      </w:r>
      <w:r>
        <w:rPr>
          <w:rFonts w:ascii="仿宋_GB2312" w:hAnsi="仿宋_GB2312" w:cs="仿宋_GB2312" w:eastAsia="仿宋_GB2312"/>
        </w:rPr>
        <w:t>幸福河西铜公路至阳光大道桥段设施维修维护项目(二次)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GCCS25-021(二次)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幸福河西铜公路至阳光大道桥段设施维修维护项目(二次)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本项目主要内容包括为西铜路西侧到五号桥，单侧长度710米，两侧长度1420米，部分栏杆拆除新做，部分栏杆破损维修等内容，服务标准及要求：要求满足国家、地方、行业相关合格标准，符合采购人相关要求。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西安市西北郊城市排洪渠道管理中心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西安市未央区北二环西段69号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029-86689953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西安市高新区丈八一路2号绿地SOHO同盟B座19层1911室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029-81130182 18049538114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参照《招标代理服务收费管理暂行办法》的通知（计价格[2002]1980号）和《关于招标代理服务收费有关问题的通知》（发改办价格[2003]857号）的有关规定标准计算收取。（2）采购代理服务费缴纳账户： 开户名称：陕西国采项目管理有限公司 开户行：中国建设银行股份有限公司西安大庆路支行 账号：61050174360000000901。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西安市西北郊城市排洪渠道管理中心</w:t>
      </w:r>
      <w:r>
        <w:rPr>
          <w:rFonts w:ascii="仿宋_GB2312" w:hAnsi="仿宋_GB2312" w:cs="仿宋_GB2312" w:eastAsia="仿宋_GB2312"/>
        </w:rPr>
        <w:t>和</w:t>
      </w:r>
      <w:r>
        <w:rPr>
          <w:rFonts w:ascii="仿宋_GB2312" w:hAnsi="仿宋_GB2312" w:cs="仿宋_GB2312" w:eastAsia="仿宋_GB2312"/>
        </w:rPr>
        <w:t>陕西国采项目管理有限公司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西安市西北郊城市排洪渠道管理中心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西安市西北郊城市排洪渠道管理中心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联系电话：029-81130182 18049538114</w:t>
      </w:r>
    </w:p>
    <w:p>
      <w:pPr>
        <w:pStyle w:val="null3"/>
      </w:pPr>
      <w:r>
        <w:rPr>
          <w:rFonts w:ascii="仿宋_GB2312" w:hAnsi="仿宋_GB2312" w:cs="仿宋_GB2312" w:eastAsia="仿宋_GB2312"/>
        </w:rPr>
        <w:t>地址：西安市高新区丈八一路2号绿地SOHO同盟B座19层1911室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本项目主要内容包括为西铜路西侧到五号桥，单侧长度710米，两侧长度1420米，部分栏杆拆除新做，部分栏杆破损维修等内容，服务标准及要求：要求满足国家、地方、行业相关合格标准，符合采购人相关要求。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820,000.00</w:t>
      </w:r>
    </w:p>
    <w:p>
      <w:pPr>
        <w:pStyle w:val="null3"/>
      </w:pPr>
      <w:r>
        <w:rPr>
          <w:rFonts w:ascii="仿宋_GB2312" w:hAnsi="仿宋_GB2312" w:cs="仿宋_GB2312" w:eastAsia="仿宋_GB2312"/>
        </w:rPr>
        <w:t>采购包最高限价（元）: 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幸福河西铜公路至阳光大道桥段设施维修维护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标的名称：幸福河西铜公路至阳光大道桥段设施维修维护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1、存在问题及治理必要性</w:t>
            </w:r>
          </w:p>
          <w:p>
            <w:pPr>
              <w:pStyle w:val="null3"/>
              <w:ind w:firstLine="420"/>
              <w:jc w:val="both"/>
            </w:pPr>
            <w:r>
              <w:rPr>
                <w:rFonts w:ascii="仿宋_GB2312" w:hAnsi="仿宋_GB2312" w:cs="仿宋_GB2312" w:eastAsia="仿宋_GB2312"/>
                <w:sz w:val="21"/>
              </w:rPr>
              <w:t>1.1、现状及存在问题：</w:t>
            </w:r>
          </w:p>
          <w:p>
            <w:pPr>
              <w:pStyle w:val="null3"/>
              <w:ind w:firstLine="420"/>
            </w:pPr>
            <w:r>
              <w:rPr>
                <w:rFonts w:ascii="仿宋_GB2312" w:hAnsi="仿宋_GB2312" w:cs="仿宋_GB2312" w:eastAsia="仿宋_GB2312"/>
                <w:sz w:val="21"/>
              </w:rPr>
              <w:t>2008年-2011年提升工程施工时，根据</w:t>
            </w:r>
            <w:r>
              <w:rPr>
                <w:rFonts w:ascii="仿宋_GB2312" w:hAnsi="仿宋_GB2312" w:cs="仿宋_GB2312" w:eastAsia="仿宋_GB2312"/>
                <w:sz w:val="21"/>
              </w:rPr>
              <w:t>西安市水利规划勘测设计院</w:t>
            </w:r>
            <w:r>
              <w:rPr>
                <w:rFonts w:ascii="仿宋_GB2312" w:hAnsi="仿宋_GB2312" w:cs="仿宋_GB2312" w:eastAsia="仿宋_GB2312"/>
                <w:sz w:val="21"/>
              </w:rPr>
              <w:t>2007年9月设计的幸福河西铜公路至入渭口段综合治理工程渠道部分施工图册进行施工，该图纸设计栏杆基座及仿汉白玉栏杆所采用强度为C25砼，图纸设计栏杆做法如下：</w:t>
            </w:r>
          </w:p>
          <w:p>
            <w:pPr>
              <w:pStyle w:val="null3"/>
              <w:ind w:firstLine="420"/>
              <w:jc w:val="center"/>
            </w:pPr>
            <w:r>
              <w:drawing>
                <wp:inline distT="0" distR="0" distB="0" distL="0">
                  <wp:extent cx="1621155" cy="64938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649383"/>
                          </a:xfrm>
                          <a:prstGeom prst="rect">
                            <a:avLst/>
                          </a:prstGeom>
                        </pic:spPr>
                      </pic:pic>
                    </a:graphicData>
                  </a:graphic>
                </wp:inline>
              </w:drawing>
            </w:r>
            <w:r>
              <w:drawing>
                <wp:inline distT="0" distR="0" distB="0" distL="0">
                  <wp:extent cx="1621155" cy="98122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981225"/>
                          </a:xfrm>
                          <a:prstGeom prst="rect">
                            <a:avLst/>
                          </a:prstGeom>
                        </pic:spPr>
                      </pic:pic>
                    </a:graphicData>
                  </a:graphic>
                </wp:inline>
              </w:drawing>
            </w:r>
            <w:r>
              <w:drawing>
                <wp:inline distT="0" distR="0" distB="0" distL="0">
                  <wp:extent cx="1621155" cy="1112082"/>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1112082"/>
                          </a:xfrm>
                          <a:prstGeom prst="rect">
                            <a:avLst/>
                          </a:prstGeom>
                        </pic:spPr>
                      </pic:pic>
                    </a:graphicData>
                  </a:graphic>
                </wp:inline>
              </w:drawing>
            </w:r>
          </w:p>
          <w:p>
            <w:pPr>
              <w:pStyle w:val="null3"/>
              <w:ind w:firstLine="420"/>
              <w:jc w:val="both"/>
            </w:pPr>
            <w:r>
              <w:rPr>
                <w:rFonts w:ascii="仿宋_GB2312" w:hAnsi="仿宋_GB2312" w:cs="仿宋_GB2312" w:eastAsia="仿宋_GB2312"/>
                <w:sz w:val="21"/>
              </w:rPr>
              <w:t>仿汉白玉栏杆安装后至今已有近</w:t>
            </w:r>
            <w:r>
              <w:rPr>
                <w:rFonts w:ascii="仿宋_GB2312" w:hAnsi="仿宋_GB2312" w:cs="仿宋_GB2312" w:eastAsia="仿宋_GB2312"/>
                <w:sz w:val="21"/>
              </w:rPr>
              <w:t>15年，尤其在西铜路西侧到五号桥这一段，单侧长度710米，双侧长度1420米，栏杆表面刷漆脱落严重，栏杆柱头破损，栏杆基础表面坑洼不平。现状部分破损情况如下：</w:t>
            </w:r>
          </w:p>
          <w:p>
            <w:pPr>
              <w:pStyle w:val="null3"/>
              <w:ind w:firstLine="420"/>
              <w:jc w:val="both"/>
            </w:pPr>
            <w:r>
              <w:drawing>
                <wp:inline distT="0" distR="0" distB="0" distL="0">
                  <wp:extent cx="1621155" cy="873308"/>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621155" cy="873308"/>
                          </a:xfrm>
                          <a:prstGeom prst="rect">
                            <a:avLst/>
                          </a:prstGeom>
                        </pic:spPr>
                      </pic:pic>
                    </a:graphicData>
                  </a:graphic>
                </wp:inline>
              </w:drawing>
            </w:r>
          </w:p>
          <w:p>
            <w:pPr>
              <w:pStyle w:val="null3"/>
              <w:ind w:firstLine="420"/>
              <w:jc w:val="both"/>
            </w:pPr>
            <w:r>
              <w:rPr>
                <w:rFonts w:ascii="仿宋_GB2312" w:hAnsi="仿宋_GB2312" w:cs="仿宋_GB2312" w:eastAsia="仿宋_GB2312"/>
                <w:sz w:val="21"/>
              </w:rPr>
              <w:t xml:space="preserve">    </w:t>
            </w:r>
            <w:r>
              <w:drawing>
                <wp:inline distT="0" distR="0" distB="0" distL="0">
                  <wp:extent cx="1621155" cy="921684"/>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621155" cy="921684"/>
                          </a:xfrm>
                          <a:prstGeom prst="rect">
                            <a:avLst/>
                          </a:prstGeom>
                        </pic:spPr>
                      </pic:pic>
                    </a:graphicData>
                  </a:graphic>
                </wp:inline>
              </w:drawing>
            </w:r>
            <w:r>
              <w:drawing>
                <wp:inline distT="0" distR="0" distB="0" distL="0">
                  <wp:extent cx="1621155" cy="1085750"/>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1621155" cy="1085750"/>
                          </a:xfrm>
                          <a:prstGeom prst="rect">
                            <a:avLst/>
                          </a:prstGeom>
                        </pic:spPr>
                      </pic:pic>
                    </a:graphicData>
                  </a:graphic>
                </wp:inline>
              </w:drawing>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1.2 维修项目的必要性</w:t>
            </w:r>
          </w:p>
          <w:p>
            <w:pPr>
              <w:pStyle w:val="null3"/>
              <w:ind w:firstLine="420"/>
              <w:jc w:val="both"/>
            </w:pPr>
            <w:r>
              <w:rPr>
                <w:rFonts w:ascii="仿宋_GB2312" w:hAnsi="仿宋_GB2312" w:cs="仿宋_GB2312" w:eastAsia="仿宋_GB2312"/>
                <w:sz w:val="21"/>
              </w:rPr>
              <w:t>根据现场调研情况，西铜路西侧到五号桥这一段的仿花岗岩栏杆破损严重，为确保度汛安全，及幸福河流域经济的健康发展，保证沿岸人民生命财产安全和城市排水管道系统正常发挥作用，保持幸福河渠道两岸的风景优美，对这部分的进行设施维护维修非常必要。</w:t>
            </w:r>
          </w:p>
          <w:p>
            <w:pPr>
              <w:pStyle w:val="null3"/>
              <w:ind w:firstLine="422"/>
              <w:jc w:val="both"/>
            </w:pPr>
            <w:r>
              <w:rPr>
                <w:rFonts w:ascii="仿宋_GB2312" w:hAnsi="仿宋_GB2312" w:cs="仿宋_GB2312" w:eastAsia="仿宋_GB2312"/>
                <w:sz w:val="21"/>
                <w:b/>
              </w:rPr>
              <w:t>2、项目实施</w:t>
            </w:r>
          </w:p>
          <w:p>
            <w:pPr>
              <w:pStyle w:val="null3"/>
              <w:ind w:firstLine="420"/>
              <w:jc w:val="both"/>
            </w:pPr>
            <w:r>
              <w:rPr>
                <w:rFonts w:ascii="仿宋_GB2312" w:hAnsi="仿宋_GB2312" w:cs="仿宋_GB2312" w:eastAsia="仿宋_GB2312"/>
                <w:sz w:val="21"/>
              </w:rPr>
              <w:t>2.1项目实施条件</w:t>
            </w:r>
          </w:p>
          <w:p>
            <w:pPr>
              <w:pStyle w:val="null3"/>
              <w:ind w:firstLine="420"/>
              <w:jc w:val="both"/>
            </w:pPr>
            <w:r>
              <w:rPr>
                <w:rFonts w:ascii="仿宋_GB2312" w:hAnsi="仿宋_GB2312" w:cs="仿宋_GB2312" w:eastAsia="仿宋_GB2312"/>
                <w:sz w:val="21"/>
              </w:rPr>
              <w:t>项目所在地区为暖温带半干旱半湿润区，多年平均降水量</w:t>
            </w:r>
            <w:r>
              <w:rPr>
                <w:rFonts w:ascii="仿宋_GB2312" w:hAnsi="仿宋_GB2312" w:cs="仿宋_GB2312" w:eastAsia="仿宋_GB2312"/>
                <w:sz w:val="21"/>
              </w:rPr>
              <w:t>571.5mm，年平均气温13.3℃，极端最高气温41.7℃，极端最低气温20.6℃，最大冻土深度0.45m。西安地区地震烈度Ⅷ度。</w:t>
            </w:r>
          </w:p>
          <w:p>
            <w:pPr>
              <w:pStyle w:val="null3"/>
              <w:ind w:firstLine="420"/>
              <w:jc w:val="both"/>
            </w:pPr>
            <w:r>
              <w:rPr>
                <w:rFonts w:ascii="仿宋_GB2312" w:hAnsi="仿宋_GB2312" w:cs="仿宋_GB2312" w:eastAsia="仿宋_GB2312"/>
                <w:sz w:val="21"/>
              </w:rPr>
              <w:t>该维修项目位于西安市北郊，沿岸有多条公路、生产路横跨幸福河。生产路，河岸较宽，地形平坦，交通便利，地形开阔，有现成项目实施道路，十分有利于机械化实施。</w:t>
            </w:r>
          </w:p>
          <w:p>
            <w:pPr>
              <w:pStyle w:val="null3"/>
              <w:ind w:firstLine="420"/>
              <w:jc w:val="both"/>
            </w:pPr>
            <w:r>
              <w:rPr>
                <w:rFonts w:ascii="仿宋_GB2312" w:hAnsi="仿宋_GB2312" w:cs="仿宋_GB2312" w:eastAsia="仿宋_GB2312"/>
                <w:sz w:val="21"/>
              </w:rPr>
              <w:t>2.2项目实施</w:t>
            </w:r>
          </w:p>
          <w:p>
            <w:pPr>
              <w:pStyle w:val="null3"/>
              <w:ind w:firstLine="420"/>
              <w:jc w:val="both"/>
            </w:pPr>
            <w:r>
              <w:rPr>
                <w:rFonts w:ascii="仿宋_GB2312" w:hAnsi="仿宋_GB2312" w:cs="仿宋_GB2312" w:eastAsia="仿宋_GB2312"/>
                <w:sz w:val="21"/>
              </w:rPr>
              <w:t>项目实施的主要范围为西铜路西侧到五号桥，单侧长度</w:t>
            </w:r>
            <w:r>
              <w:rPr>
                <w:rFonts w:ascii="仿宋_GB2312" w:hAnsi="仿宋_GB2312" w:cs="仿宋_GB2312" w:eastAsia="仿宋_GB2312"/>
                <w:sz w:val="21"/>
              </w:rPr>
              <w:t>710米，两侧长度1420米。经过实地考察，此部分的栏杆计划拆除后新做长度1000米，破损维修420米。</w:t>
            </w:r>
          </w:p>
          <w:p>
            <w:pPr>
              <w:pStyle w:val="null3"/>
              <w:ind w:firstLine="420"/>
              <w:jc w:val="both"/>
            </w:pPr>
            <w:r>
              <w:rPr>
                <w:rFonts w:ascii="仿宋_GB2312" w:hAnsi="仿宋_GB2312" w:cs="仿宋_GB2312" w:eastAsia="仿宋_GB2312"/>
                <w:sz w:val="21"/>
              </w:rPr>
              <w:t>根据目前栏杆实际情况，新做部分的栏杆，项目</w:t>
            </w:r>
            <w:r>
              <w:rPr>
                <w:rFonts w:ascii="仿宋_GB2312" w:hAnsi="仿宋_GB2312" w:cs="仿宋_GB2312" w:eastAsia="仿宋_GB2312"/>
                <w:sz w:val="21"/>
              </w:rPr>
              <w:t>实施</w:t>
            </w:r>
            <w:r>
              <w:rPr>
                <w:rFonts w:ascii="仿宋_GB2312" w:hAnsi="仿宋_GB2312" w:cs="仿宋_GB2312" w:eastAsia="仿宋_GB2312"/>
                <w:sz w:val="21"/>
              </w:rPr>
              <w:t>共分三部分，第一部分，拆除原有的栏杆栏板和柱子，垃圾外运。第二部分，根据根据西安市水利建筑勘测设计院</w:t>
            </w:r>
            <w:r>
              <w:rPr>
                <w:rFonts w:ascii="仿宋_GB2312" w:hAnsi="仿宋_GB2312" w:cs="仿宋_GB2312" w:eastAsia="仿宋_GB2312"/>
                <w:sz w:val="21"/>
              </w:rPr>
              <w:t>2007年9月设计的幸福河西铜公路至入渭口段综合治理工程渠道部分施工图册中设计的仿汉白玉栏杆的做法进行实施。栏杆表面喷刷仿汉白玉面漆。第三部分，对现有的栏杆基础破损的地方予以修复，并全部用水泥砂浆抹面处理，人工洒水养护。</w:t>
            </w:r>
          </w:p>
          <w:p>
            <w:pPr>
              <w:pStyle w:val="null3"/>
              <w:ind w:firstLine="420"/>
              <w:jc w:val="both"/>
            </w:pPr>
            <w:r>
              <w:rPr>
                <w:rFonts w:ascii="仿宋_GB2312" w:hAnsi="仿宋_GB2312" w:cs="仿宋_GB2312" w:eastAsia="仿宋_GB2312"/>
                <w:sz w:val="21"/>
              </w:rPr>
              <w:t>破损维修的此部分栏杆，对栏杆破损部分按照相同材质进行修补，表面漆铲除后重新刷仿汉白玉面漆。对现有的栏杆基础破损的地方予以修复，并全部用水泥砂浆抹面处理，人工洒水养护。</w:t>
            </w:r>
          </w:p>
          <w:p>
            <w:pPr>
              <w:pStyle w:val="null3"/>
              <w:ind w:firstLine="420"/>
              <w:jc w:val="both"/>
            </w:pPr>
            <w:r>
              <w:rPr>
                <w:rFonts w:ascii="仿宋_GB2312" w:hAnsi="仿宋_GB2312" w:cs="仿宋_GB2312" w:eastAsia="仿宋_GB2312"/>
                <w:sz w:val="21"/>
              </w:rPr>
              <w:t>根据目前的实际情况，</w:t>
            </w:r>
            <w:r>
              <w:rPr>
                <w:rFonts w:ascii="仿宋_GB2312" w:hAnsi="仿宋_GB2312" w:cs="仿宋_GB2312" w:eastAsia="仿宋_GB2312"/>
                <w:sz w:val="21"/>
              </w:rPr>
              <w:t>项目</w:t>
            </w:r>
            <w:r>
              <w:rPr>
                <w:rFonts w:ascii="仿宋_GB2312" w:hAnsi="仿宋_GB2312" w:cs="仿宋_GB2312" w:eastAsia="仿宋_GB2312"/>
                <w:sz w:val="21"/>
              </w:rPr>
              <w:t>实施</w:t>
            </w:r>
            <w:r>
              <w:rPr>
                <w:rFonts w:ascii="仿宋_GB2312" w:hAnsi="仿宋_GB2312" w:cs="仿宋_GB2312" w:eastAsia="仿宋_GB2312"/>
                <w:sz w:val="21"/>
              </w:rPr>
              <w:t>以人工为主，更换栏杆部分，将栏杆柱子从原设计的栏杆柱子基坑内拆除，拆除栏板。拆除后的砼栏杆运输至垃圾填埋场。安装新做的栏杆时，栏杆柱基础四周用</w:t>
            </w:r>
            <w:r>
              <w:rPr>
                <w:rFonts w:ascii="仿宋_GB2312" w:hAnsi="仿宋_GB2312" w:cs="仿宋_GB2312" w:eastAsia="仿宋_GB2312"/>
                <w:sz w:val="21"/>
              </w:rPr>
              <w:t>C30细石砼填实。对栏杆基础采用M10水泥砂浆抹面，人工洒水养护，恢复栏杆基础整洁美观的自然面貌。维修维护部分的栏杆，铲除原来的脱落的漆面，人工用砂纸打磨平整光滑后，重新刷底漆一遍，面漆两遍。对栏杆基础砼破损的地方用细石砼进行填充修补，并对基础进行水泥砂浆抹面。</w:t>
            </w:r>
          </w:p>
          <w:p>
            <w:pPr>
              <w:pStyle w:val="null3"/>
              <w:ind w:firstLine="420"/>
              <w:jc w:val="both"/>
            </w:pPr>
            <w:r>
              <w:rPr>
                <w:rFonts w:ascii="仿宋_GB2312" w:hAnsi="仿宋_GB2312" w:cs="仿宋_GB2312" w:eastAsia="仿宋_GB2312"/>
                <w:sz w:val="21"/>
              </w:rPr>
              <w:t>设施维修维护项目</w:t>
            </w:r>
            <w:r>
              <w:rPr>
                <w:rFonts w:ascii="仿宋_GB2312" w:hAnsi="仿宋_GB2312" w:cs="仿宋_GB2312" w:eastAsia="仿宋_GB2312"/>
                <w:sz w:val="21"/>
              </w:rPr>
              <w:t>实施</w:t>
            </w:r>
            <w:r>
              <w:rPr>
                <w:rFonts w:ascii="仿宋_GB2312" w:hAnsi="仿宋_GB2312" w:cs="仿宋_GB2312" w:eastAsia="仿宋_GB2312"/>
                <w:sz w:val="21"/>
              </w:rPr>
              <w:t>后对该区域社会环境和自然环境的改善具有显著的促进作用。但在</w:t>
            </w:r>
            <w:r>
              <w:rPr>
                <w:rFonts w:ascii="仿宋_GB2312" w:hAnsi="仿宋_GB2312" w:cs="仿宋_GB2312" w:eastAsia="仿宋_GB2312"/>
                <w:sz w:val="21"/>
              </w:rPr>
              <w:t>项目</w:t>
            </w:r>
            <w:r>
              <w:rPr>
                <w:rFonts w:ascii="仿宋_GB2312" w:hAnsi="仿宋_GB2312" w:cs="仿宋_GB2312" w:eastAsia="仿宋_GB2312"/>
                <w:sz w:val="21"/>
              </w:rPr>
              <w:t>实施</w:t>
            </w:r>
            <w:r>
              <w:rPr>
                <w:rFonts w:ascii="仿宋_GB2312" w:hAnsi="仿宋_GB2312" w:cs="仿宋_GB2312" w:eastAsia="仿宋_GB2312"/>
                <w:sz w:val="21"/>
              </w:rPr>
              <w:t>过程中难免会对周边环境造成一些不利的影响，施工期不利影响是暂时的，为了将施工的影响降低到最小程度，运输车辆必须加盖防护布，以防止物料沿路抛洒，在运输道路上经常洒水，保持湿润，避免尘土飞扬。</w:t>
            </w:r>
          </w:p>
          <w:p>
            <w:pPr>
              <w:pStyle w:val="null3"/>
              <w:ind w:firstLine="420"/>
              <w:jc w:val="both"/>
            </w:pPr>
            <w:r>
              <w:rPr>
                <w:rFonts w:ascii="仿宋_GB2312" w:hAnsi="仿宋_GB2312" w:cs="仿宋_GB2312" w:eastAsia="仿宋_GB2312"/>
                <w:sz w:val="21"/>
              </w:rPr>
              <w:t>2.3增加钢丝绳防护：根据现场查看，在矩形断面的河道中，河道底面至河堤路高度约6米左右，为了方便河道周边人员的落水救援，拟在河道两侧，常水位以上50厘米左右，增加一道钢丝绳防护，钢丝绳两侧共计长度700米。</w:t>
            </w:r>
          </w:p>
          <w:p>
            <w:pPr>
              <w:pStyle w:val="null3"/>
              <w:ind w:firstLine="420"/>
              <w:jc w:val="both"/>
            </w:pPr>
            <w:r>
              <w:rPr>
                <w:rFonts w:ascii="仿宋_GB2312" w:hAnsi="仿宋_GB2312" w:cs="仿宋_GB2312" w:eastAsia="仿宋_GB2312"/>
                <w:sz w:val="21"/>
              </w:rPr>
              <w:t>2.4增加防溺水救援设施：每年夏天都是溺水事件高发频发期，为切实做好防溺水工作，预防和减少事故发生，拟在河道上补充一批防溺水应急救援物资，把防溺水工作落到末端、落到实处。并开展器材管理使用和急救知识进行一对一培训，保证发生溺水险情时，能拿得出、用得上、救得下。</w:t>
            </w:r>
          </w:p>
          <w:p>
            <w:pPr>
              <w:pStyle w:val="null3"/>
              <w:ind w:firstLine="420"/>
              <w:jc w:val="both"/>
            </w:pPr>
            <w:r>
              <w:rPr>
                <w:rFonts w:ascii="仿宋_GB2312" w:hAnsi="仿宋_GB2312" w:cs="仿宋_GB2312" w:eastAsia="仿宋_GB2312"/>
                <w:sz w:val="21"/>
              </w:rPr>
              <w:t>新更换的</w:t>
            </w:r>
            <w:r>
              <w:rPr>
                <w:rFonts w:ascii="仿宋_GB2312" w:hAnsi="仿宋_GB2312" w:cs="仿宋_GB2312" w:eastAsia="仿宋_GB2312"/>
                <w:sz w:val="21"/>
              </w:rPr>
              <w:t>C25砼栏杆，刷仿石材油漆。更换后的栏杆参考漕运河提升后的栏杆效果，如下图：</w:t>
            </w:r>
          </w:p>
          <w:p>
            <w:pPr>
              <w:pStyle w:val="null3"/>
              <w:jc w:val="both"/>
            </w:pPr>
            <w:r>
              <w:drawing>
                <wp:inline distT="0" distR="0" distB="0" distL="0">
                  <wp:extent cx="1621155" cy="824531"/>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1621155" cy="824531"/>
                          </a:xfrm>
                          <a:prstGeom prst="rect">
                            <a:avLst/>
                          </a:prstGeom>
                        </pic:spPr>
                      </pic:pic>
                    </a:graphicData>
                  </a:graphic>
                </wp:inline>
              </w:drawing>
            </w:r>
          </w:p>
          <w:p>
            <w:pPr>
              <w:pStyle w:val="null3"/>
              <w:jc w:val="both"/>
            </w:pPr>
            <w:r>
              <w:rPr>
                <w:rFonts w:ascii="仿宋_GB2312" w:hAnsi="仿宋_GB2312" w:cs="仿宋_GB2312" w:eastAsia="仿宋_GB2312"/>
                <w:sz w:val="21"/>
              </w:rPr>
              <w:t>3.维修维护清单见下表</w:t>
            </w:r>
          </w:p>
          <w:tbl>
            <w:tblPr>
              <w:tblInd w:type="dxa" w:w="90"/>
              <w:tblBorders>
                <w:top w:val="none" w:color="000000" w:sz="4"/>
                <w:left w:val="none" w:color="000000" w:sz="4"/>
                <w:bottom w:val="none" w:color="000000" w:sz="4"/>
                <w:right w:val="none" w:color="000000" w:sz="4"/>
                <w:insideH w:val="none"/>
                <w:insideV w:val="none"/>
              </w:tblBorders>
            </w:tblPr>
            <w:tblGrid>
              <w:gridCol w:w="249"/>
              <w:gridCol w:w="884"/>
              <w:gridCol w:w="330"/>
              <w:gridCol w:w="402"/>
              <w:gridCol w:w="673"/>
            </w:tblGrid>
            <w:tr>
              <w:tc>
                <w:tcPr>
                  <w:tcW w:type="dxa" w:w="2538"/>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幸福河西铜公路至阳光大道桥段设施维修维护</w:t>
                  </w:r>
                  <w:r>
                    <w:rPr>
                      <w:rFonts w:ascii="仿宋_GB2312" w:hAnsi="仿宋_GB2312" w:cs="仿宋_GB2312" w:eastAsia="仿宋_GB2312"/>
                      <w:sz w:val="21"/>
                      <w:b/>
                      <w:color w:val="000000"/>
                    </w:rPr>
                    <w:t>清单</w:t>
                  </w:r>
                  <w:r>
                    <w:rPr>
                      <w:rFonts w:ascii="仿宋_GB2312" w:hAnsi="仿宋_GB2312" w:cs="仿宋_GB2312" w:eastAsia="仿宋_GB2312"/>
                      <w:sz w:val="21"/>
                      <w:b/>
                    </w:rPr>
                    <w:t xml:space="preserve">     </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项目内容</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w:t>
                  </w:r>
                  <w:r>
                    <w:rPr>
                      <w:rFonts w:ascii="仿宋_GB2312" w:hAnsi="仿宋_GB2312" w:cs="仿宋_GB2312" w:eastAsia="仿宋_GB2312"/>
                      <w:sz w:val="21"/>
                      <w:color w:val="000000"/>
                    </w:rPr>
                    <w:t>量</w:t>
                  </w:r>
                </w:p>
              </w:tc>
              <w:tc>
                <w:tcPr>
                  <w:tcW w:type="dxa" w:w="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栏杆更换</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栏杆拆除</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拆除垃圾外运</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栏杆制作安装</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栏杆刷漆</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2600</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栏杆基础抹灰</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1450</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人工洒水养护</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栏杆翻新维修</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栏杆破损修补</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栏杆打磨</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栏杆刷漆</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栏杆基础抹灰</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609</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人工洒水养护</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三</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钢丝绳防护</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钢丝绳防护</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w:t>
                  </w:r>
                </w:p>
              </w:tc>
              <w:tc>
                <w:tcPr>
                  <w:tcW w:type="dxa" w:w="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防溺水救援设备</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每套包含一块警示牌、一个救生圈、一根安全绳、一对救援杆</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项目服务完成，经采购人验收合格后，按照项目评审金额据实支付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1.服务缺陷的补救措施和索赔 (1)如果乙方提供的服务不符合本合同约定以及磋商文件、响应文件关于服务的要求和承诺，乙方应按照甲方同意的下列一种或几种方式结合起来解决索赔事宜： ①乙方同意将服务款项目退还给甲方，由此发生的一切费用和损失由乙方承担。如甲方以适当的条件和方法购买与未履约标的相类似的服务，乙方应负担新购买类似服务所超出的费用。 ②根据服务的质量状况以及甲方所遭受的损失，经过甲乙双方商定降低服务的价格。 (2)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 (3)乙方在而合同履行过程中，提供的服务质量不满足甲方考核验收标准，甲方有权按照通用条款的奖惩原则进行奖惩。 2.迟延履约的违约责任 (1)乙方应按照本合同规定的时间、地点提供服务。 (2)在履行合同过程中，如果乙方遇到可能妨碍按时提供服务的情形时，应及时以书面形式将迟延的事实、可能迟延的期限和理由通知甲方。甲方在收到乙方通知后，应尽快对情况进行评价，并确定是否同意延期提供服务。 (3)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 (4)如果乙方延迟履约超过30日，甲方有权终止全部或部分合同，并依其认为适当的条件和方法购买与未履约类似的服务，乙方应负担购买类似服务所超出的费用。但是，乙方应继续执行合同中未终止的部分。 3.未履行合同义务的违约责任 (1)守约方有权终止全部或部分合同。 (2)没收全额履约保证金。 (3)由违约一方支付违约金，违约金标准见合同条款前附表。 (4)违约金不足以弥补守约方实际损失、可预见或者应当预见的损失，由违约方全额予以赔偿。 4.其他违约责任 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 （二）合同纠纷的解决方式 1.合同各方应通过友好协商，解决在执行合同过程中所发生的或与合同有关的一切争端。如协商30日内(根据实际情况设定)不能解决，可以按合同规定的方式提起诉讼。 2.诉讼应由甲方住所地人民法院管辖。 3.如诉讼事项不影响合同其他部分的履行，则在诉讼期间，除正在进行诉讼的部分外，合同的其他部分应继续执行。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（1）本项目采购标的所属行业为：其他未列明行业 从业人员300人以下的为中小微型企业。其中，从业人员100人及以上的为中型企业；从业人员10人及以上的为小型企业；从业人员10人以下的为微型企业。 （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本项目属于西安市本级项目，根据《西安市财政局关于促进政府采购公平竞争优化营商环境的通知》（市财函〔2021〕431号）文件的要求，采购代理机构向采购人提交评标报告、采购人确定中标人、采购代理机构发布中标公告和采购人或采购代理机构发出中标通知书的期限要求，均在法定期限要求基础上提前1个工作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磋商。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需提供2023年度或2024年度经审计的供应商财务会计报告或者提供响应文件截止时间3个月内其基本账户开户银行出具的资信证明。供应商需在项目电子化交易系统中按要求上传相应证明文件并进行电子签章。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费用组成明细表.docx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 服务内容及服务邀请应答表 费用组成明细表.docx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（4）不同供应商的响应文件异常一致或者磋商报价呈规律性差异；（5）不同供应商的磋商保证金从同一单位或者个人的账户转出</w:t>
            </w:r>
          </w:p>
        </w:tc>
        <w:tc>
          <w:tcPr>
            <w:tcW w:type="dxa" w:w="1661"/>
          </w:tcPr>
          <w:p>
            <w:pPr>
              <w:pStyle w:val="null3"/>
            </w:pPr>
            <w:r>
              <w:rPr>
                <w:rFonts w:ascii="仿宋_GB2312" w:hAnsi="仿宋_GB2312" w:cs="仿宋_GB2312" w:eastAsia="仿宋_GB2312"/>
              </w:rPr>
              <w:t>费用组成明细表.docx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维修维护实施方案</w:t>
            </w:r>
          </w:p>
        </w:tc>
        <w:tc>
          <w:tcPr>
            <w:tcW w:type="dxa" w:w="2492"/>
          </w:tcPr>
          <w:p>
            <w:pPr>
              <w:pStyle w:val="null3"/>
            </w:pPr>
            <w:r>
              <w:rPr>
                <w:rFonts w:ascii="仿宋_GB2312" w:hAnsi="仿宋_GB2312" w:cs="仿宋_GB2312" w:eastAsia="仿宋_GB2312"/>
              </w:rPr>
              <w:t>一、评审内容 针对采购内容提出适用于本项目的维修维护实施方案，方案包括：①原有栏杆拆除方案；②破损栏杆修复方案；③新换栏杆制作及安装方案；④项目实施现场组织方案；⑤实施过程现场人员管理方案；⑥安装及修复后的人工养护方案。 二、评审标准 1、完整性：方案必须全面，对评审内容中的各项要求有详细描述； 2、针对性：方案能够紧扣项目实际情况，内容科学合理； 3、可实施性：切合本项目实际情况，提出步骤清晰、合理的方案。 三、赋分标准（满分18分） ①原有栏杆拆除方案：此评审项满分3分，每完全满足一个评审标准得1分；针对每条评审标准，如存在不合理的方面，得0.5分；针对每条评审标准，方案内容与本项目无关或未提供的，得0分。 ②破损栏杆修复方案：此评审项满分3分，每完全满足一个评审标准得1分；针对每条评审标准，如存在不合理的方面，得0.5分；针对每条评审标准，方案内容与本项目无关或未提供的，得0分。 ③新换栏杆制作及安装方案：此评审项满分3分，每完全满足一个评审标准得1分；针对每条评审标准，如存在不合理的方面，得0.5分；针对每条评审标准，方案内容与本项目无关或未提供的，得0分。 ④项目实施现场组织方案：此评审项满分3分，每完全满足一个评审标准得1分；针对每条评审标准，如存在不合理的方面，得0.5分；针对每条评审标准，方案内容与本项目无关或未提供的，得0分。 ⑤实施过程现场人员管理方案：此评审项满分3分，每完全满足一个评审标准得1分；针对每条评审标准，如存在不合理的方面，得0.5分；针对每条评审标准，方案内容与本项目无关或未提供的，得0分。 ⑥安装及修复后的人工养护方案：此评审项满分3分，每完全满足一个评审标准得1分；针对每条评审标准，如存在不合理的方面，得0.5分；针对每条评审标准，方案内容与本项目无关或未提供的，得0分。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防溺水应急救援物资配置及使用培训方案</w:t>
            </w:r>
          </w:p>
        </w:tc>
        <w:tc>
          <w:tcPr>
            <w:tcW w:type="dxa" w:w="2492"/>
          </w:tcPr>
          <w:p>
            <w:pPr>
              <w:pStyle w:val="null3"/>
            </w:pPr>
            <w:r>
              <w:rPr>
                <w:rFonts w:ascii="仿宋_GB2312" w:hAnsi="仿宋_GB2312" w:cs="仿宋_GB2312" w:eastAsia="仿宋_GB2312"/>
              </w:rPr>
              <w:t>一、评审内容 针对采购内容提出适用于本项目的防溺水应急救援物资配置及使用培训方案，配备合理的应急救援物资并配有应急救援知识和物资使用培训。 二、评审标准 1、完整性：方案必须全面，对评审内容中的各项要求有详细描述； 2、针对性：方案能够紧扣项目实际情况，内容科学合理； 3、可实施性：切合本项目实际情况，提出步骤清晰、合理的方案。 三、赋分标准（满分3分） 防溺水应急救援物资配置及使用培训方案：此评审项满分3分，每完全满足一个评审标准得1分；针对每条评审标准，如存在不合理的方面，得0.5分；针对每条评审标准，方案内容与本项目无关或未提供的，得0分。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生产垃圾外运及防尘方案</w:t>
            </w:r>
          </w:p>
        </w:tc>
        <w:tc>
          <w:tcPr>
            <w:tcW w:type="dxa" w:w="2492"/>
          </w:tcPr>
          <w:p>
            <w:pPr>
              <w:pStyle w:val="null3"/>
            </w:pPr>
            <w:r>
              <w:rPr>
                <w:rFonts w:ascii="仿宋_GB2312" w:hAnsi="仿宋_GB2312" w:cs="仿宋_GB2312" w:eastAsia="仿宋_GB2312"/>
              </w:rPr>
              <w:t>一、评审内容 针对采购内容提出适用于本项目的生产垃圾外运及防尘方案，方案包括：①生产垃圾外运方案；②服务现场及垃圾外运过程中的防尘方案。 二、评审标准 1、完整性：方案必须全面，对评审内容中的各项要求有详细描述； 2、针对性：方案能够紧扣项目实际情况，内容科学合理； 3、可实施性：切合本项目实际情况，提出步骤清晰、合理的方案。 三、赋分标准（满分6分） ①生产垃圾外运方案：此评审项满分3分，每完全满足一个评审标准得1分；针对每条评审标准，如存在不合理的方面，得0.5分；针对每条评审标准，方案内容与本项目无关或未提供的，得0分。 ②服务现场及垃圾外运过程中的防尘方案：此评审项满分3分，每完全满足一个评审标准得1分；针对每条评审标准，如存在不合理的方面，得0.5分；针对每条评审标准，方案内容与本项目无关或未提供的，得0分。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针对采购内容提出适用于本项目的保障措施，包括：①服务质量保证措施；②服务进度计划保证措施；③安全管理措施。 二、评审标准 1、完整性：方案必须全面，对评审内容中的各项要求有详细描述； 2、针对性：方案能够紧扣项目实际情况，内容科学合理； 3、可实施性：切合本项目实际情况，提出步骤清晰、合理的方案。 三、赋分标准（满分9分） ①服务质量保证措施：此评审项满分3分，每完全满足一个评审标准得1分；针对每条评审标准，如存在不合理的方面，得0.5分；针对每条评审标准，方案内容与本项目无关或未提供的，得0分。 ②服务进度计划保证措施：此评审项满分3分，每完全满足一个评审标准得1分；针对每条评审标准，如存在不合理的方面，得0.5分；针对每条评审标准，方案内容与本项目无关或未提供的，得0分。 ③安全管理措施：此评审项满分3分，每完全满足一个评审标准得1分；针对每条评审标准，如存在不合理的方面，得0.5分；针对每条评审标准，方案内容与本项目无关或未提供的，得0分。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内部管理制度：具有管理组织机构、问责机制、监督机制、自查制度等制度、完善的工作流程。 二、评审标准 1、完整性：方案必须全面，对评审内容中的各项要求有详细描述； 2、针对性：方案能够紧扣项目实际情况，内容科学合理； 3、科学性：切合本项目实际情况，提出科学、合理的方案。 三、赋分标准（满分3分） 内部管理制度：此评审项满分3分，每完全满足一个评审标准得1分；针对每条评审标准，如存在不合理的方面，得0.5分；针对每条评审标准，方案内容与本项目无关或未提供的，得0分。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人员配置方案及维护设备、机具配置方案</w:t>
            </w:r>
          </w:p>
        </w:tc>
        <w:tc>
          <w:tcPr>
            <w:tcW w:type="dxa" w:w="2492"/>
          </w:tcPr>
          <w:p>
            <w:pPr>
              <w:pStyle w:val="null3"/>
            </w:pPr>
            <w:r>
              <w:rPr>
                <w:rFonts w:ascii="仿宋_GB2312" w:hAnsi="仿宋_GB2312" w:cs="仿宋_GB2312" w:eastAsia="仿宋_GB2312"/>
              </w:rPr>
              <w:t>一、评审内容 针对采购内容提出适用于本项目的人员配置方案及维护设备、机具配置方案，方案包括：①人员配置方案；②维护设备、机具配置方案。 二、评审标准 1、完整性：方案必须全面，对评审内容中的各项要求有详细描述； 2、针对性：方案能够紧扣项目实际情况，内容科学合理； 3、科学性：切合本项目实际情况，提出科学、合理配置的方案。 三、赋分标准（满分6分） ①人员配置方案：此评审项满分3分，每完全满足一个评审标准得1分；针对每条评审标准，如存在不合理的方面，得0.5分；针对每条评审标准，方案内容与本项目无关或未提供的，得0分。 ②维护设备、机具配置方案：此评审项满分3分，每完全满足一个评审标准得1分；针对评审标准存在有不合理处的得0.5分；内容与本项目无关或未提供的得0分。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重难点分析及对策</w:t>
            </w:r>
          </w:p>
        </w:tc>
        <w:tc>
          <w:tcPr>
            <w:tcW w:type="dxa" w:w="2492"/>
          </w:tcPr>
          <w:p>
            <w:pPr>
              <w:pStyle w:val="null3"/>
            </w:pPr>
            <w:r>
              <w:rPr>
                <w:rFonts w:ascii="仿宋_GB2312" w:hAnsi="仿宋_GB2312" w:cs="仿宋_GB2312" w:eastAsia="仿宋_GB2312"/>
              </w:rPr>
              <w:t>一、评审内容 针对采购内容提出适用于本项目的重难点分析及对策。 二、评审标准 1、完整性：方案必须全面，对评审内容中的各项要求有详细描述； 2、针对性：方案能够紧扣项目实际情况，内容科学合理； 3、可实施性：切合本项目实际情况，提出步骤清晰、合理的方案。 三、赋分标准（满分3分） 重难点分析及对策：此评审项满分3分，每完全满足一个评审标准得1分；针对每条评审标准，如存在不合理的方面，得0.5分；针对每条评审标准，方案内容与本项目无关或未提供的，得0分。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针对采购内容提出适用于本项目的应急方案，对于可能出现的突发情况有相应的解决方案。 二、评审标准 1、完整性：方案必须全面，对评审内容中的各项要求有详细描述； 2、针对性：方案能够紧扣项目实际情况，内容科学合理； 3、可实施性：切合本项目实际情况，提出步骤清晰、合理的方案。 三、赋分标准（满分3分） 应急方案：此评审项满分3分，每完全满足一个评审标准得1分；针对每条评审标准，如存在不合理的方面，得0.5分；针对每条评审标准，方案内容与本项目无关或未提供的，得0分。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方案包括：①对服务过程中服务质量的一致性、稳定性等作出承诺；②对于项目实施过程中环境卫生的保护等内容作出承诺；③针对采购人的其他任务及情况的处理的专项承诺。 二、评审标准 1、完整性：方案必须全面，对评审内容中的各项要求有详细描述； 2、针对性：方案能够紧扣项目实际情况，内容科学合理； 3、可实施性：切合本项目实际情况，提出步骤清晰、合理的方案。 三、赋分标准（满分9分） ①对服务过程中服务质量的一致性、稳定性等作出承诺：此评审项满分3分，每完全满足一个评审标准得1分；针对每条评审标准，如存在不合理的方面，得0.5分；针对每条评审标准，方案内容与本项目无关或未提供的，得0分。 ②对于项目实施过程中环境卫生的保护等内容作出承诺：此评审项满分3分，每完全满足一个评审标准得1分；针对每条评审标准，如存在不合理的方面，得0.5分；针对每条评审标准，方案内容与本项目无关或未提供的，得0分。 ③针对采购人的其他任务及情况的处理的专项承诺：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以供应商2022年01月至今类似项目业绩（以合同时间为准，截止日为本项目公告发布之日）计算，每份合同为1个业绩，提供一份合同业绩得2分，满分为10分。未提供的不得分。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以本次满足磋商文件要求的最低磋商评审价为磋商基准价，其价格为满分，供应商的价格分，统一按照下列公式计算：磋商评审价=最后报价×（1-报价扣除幅度） ，最后报价得分=(磋商基准价／磋商评审价)×价格分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