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F8375">
      <w:pPr>
        <w:jc w:val="center"/>
        <w:rPr>
          <w:rFonts w:hint="eastAsia"/>
          <w:sz w:val="40"/>
          <w:szCs w:val="40"/>
        </w:rPr>
      </w:pPr>
      <w:r>
        <w:rPr>
          <w:rFonts w:hint="eastAsia"/>
          <w:sz w:val="40"/>
          <w:szCs w:val="40"/>
        </w:rPr>
        <w:t>XXXXXXX项目</w:t>
      </w:r>
    </w:p>
    <w:p w14:paraId="7740CC46">
      <w:pPr>
        <w:rPr>
          <w:rFonts w:hint="eastAsia"/>
        </w:rPr>
      </w:pPr>
      <w:r>
        <w:rPr>
          <w:rFonts w:hint="eastAsia"/>
        </w:rPr>
        <w:t xml:space="preserve"> </w:t>
      </w:r>
    </w:p>
    <w:p w14:paraId="1C73B42B">
      <w:pPr>
        <w:jc w:val="center"/>
        <w:rPr>
          <w:rFonts w:hint="eastAsia"/>
        </w:rPr>
      </w:pPr>
    </w:p>
    <w:p w14:paraId="506A6C7D">
      <w:pPr>
        <w:jc w:val="center"/>
        <w:rPr>
          <w:rFonts w:hint="eastAsia"/>
        </w:rPr>
      </w:pPr>
    </w:p>
    <w:p w14:paraId="77FDFC40">
      <w:pPr>
        <w:jc w:val="center"/>
        <w:rPr>
          <w:rFonts w:hint="eastAsia"/>
        </w:rPr>
      </w:pPr>
    </w:p>
    <w:p w14:paraId="2344BF6A">
      <w:pPr>
        <w:jc w:val="center"/>
        <w:rPr>
          <w:rFonts w:hint="eastAsia"/>
        </w:rPr>
      </w:pPr>
    </w:p>
    <w:p w14:paraId="6251BE21">
      <w:pPr>
        <w:jc w:val="center"/>
        <w:rPr>
          <w:rFonts w:hint="eastAsia"/>
        </w:rPr>
      </w:pPr>
    </w:p>
    <w:p w14:paraId="39D422E0">
      <w:pPr>
        <w:jc w:val="center"/>
        <w:rPr>
          <w:rFonts w:hint="eastAsia"/>
        </w:rPr>
      </w:pPr>
    </w:p>
    <w:p w14:paraId="73CBBEBC">
      <w:pPr>
        <w:jc w:val="center"/>
        <w:rPr>
          <w:rFonts w:hint="eastAsia"/>
        </w:rPr>
      </w:pPr>
    </w:p>
    <w:p w14:paraId="3DF4CF0C">
      <w:pPr>
        <w:jc w:val="center"/>
        <w:rPr>
          <w:rFonts w:hint="eastAsia"/>
          <w:sz w:val="36"/>
          <w:szCs w:val="36"/>
        </w:rPr>
      </w:pPr>
    </w:p>
    <w:p w14:paraId="74A9406A">
      <w:pPr>
        <w:jc w:val="center"/>
        <w:rPr>
          <w:rFonts w:hint="eastAsia"/>
          <w:sz w:val="36"/>
          <w:szCs w:val="36"/>
        </w:rPr>
      </w:pPr>
    </w:p>
    <w:p w14:paraId="77BEE1BC">
      <w:pPr>
        <w:jc w:val="center"/>
        <w:rPr>
          <w:rFonts w:hint="eastAsia"/>
          <w:sz w:val="40"/>
          <w:szCs w:val="40"/>
        </w:rPr>
      </w:pPr>
      <w:r>
        <w:rPr>
          <w:rFonts w:hint="eastAsia"/>
          <w:sz w:val="40"/>
          <w:szCs w:val="40"/>
        </w:rPr>
        <w:t>合 同 书</w:t>
      </w:r>
    </w:p>
    <w:p w14:paraId="0FF0331B">
      <w:pPr>
        <w:rPr>
          <w:rFonts w:hint="eastAsia"/>
        </w:rPr>
      </w:pPr>
      <w:r>
        <w:rPr>
          <w:rFonts w:hint="eastAsia"/>
        </w:rPr>
        <w:t xml:space="preserve"> </w:t>
      </w:r>
    </w:p>
    <w:p w14:paraId="6B2D7049">
      <w:pPr>
        <w:rPr>
          <w:rFonts w:hint="eastAsia"/>
        </w:rPr>
      </w:pPr>
    </w:p>
    <w:p w14:paraId="27564B80">
      <w:pPr>
        <w:rPr>
          <w:rFonts w:hint="eastAsia"/>
        </w:rPr>
      </w:pPr>
    </w:p>
    <w:p w14:paraId="23F8D5DF">
      <w:pPr>
        <w:rPr>
          <w:rFonts w:hint="eastAsia"/>
        </w:rPr>
      </w:pPr>
    </w:p>
    <w:p w14:paraId="48D824A7">
      <w:pPr>
        <w:rPr>
          <w:rFonts w:hint="eastAsia"/>
        </w:rPr>
      </w:pPr>
    </w:p>
    <w:p w14:paraId="1A914B1C">
      <w:pPr>
        <w:rPr>
          <w:rFonts w:hint="eastAsia"/>
        </w:rPr>
      </w:pPr>
      <w:bookmarkStart w:id="0" w:name="_GoBack"/>
      <w:bookmarkEnd w:id="0"/>
    </w:p>
    <w:p w14:paraId="3DC5275D">
      <w:pPr>
        <w:rPr>
          <w:rFonts w:hint="eastAsia"/>
        </w:rPr>
      </w:pPr>
    </w:p>
    <w:p w14:paraId="254B8397">
      <w:pPr>
        <w:rPr>
          <w:rFonts w:hint="eastAsia"/>
        </w:rPr>
      </w:pPr>
    </w:p>
    <w:p w14:paraId="3FE1B06E">
      <w:pPr>
        <w:rPr>
          <w:rFonts w:hint="eastAsia"/>
        </w:rPr>
      </w:pPr>
    </w:p>
    <w:p w14:paraId="757BE57B">
      <w:pPr>
        <w:rPr>
          <w:rFonts w:hint="eastAsia"/>
        </w:rPr>
      </w:pPr>
    </w:p>
    <w:p w14:paraId="2C7E2DB3">
      <w:pPr>
        <w:rPr>
          <w:rFonts w:hint="eastAsia"/>
        </w:rPr>
      </w:pPr>
    </w:p>
    <w:p w14:paraId="3058A4C1">
      <w:pPr>
        <w:rPr>
          <w:rFonts w:hint="eastAsia"/>
        </w:rPr>
      </w:pPr>
    </w:p>
    <w:p w14:paraId="5F8ED608">
      <w:pPr>
        <w:rPr>
          <w:rFonts w:hint="eastAsia"/>
        </w:rPr>
      </w:pPr>
    </w:p>
    <w:p w14:paraId="3D5935F6">
      <w:pPr>
        <w:rPr>
          <w:rFonts w:hint="eastAsia"/>
        </w:rPr>
      </w:pPr>
    </w:p>
    <w:p w14:paraId="6A04FDCF">
      <w:pPr>
        <w:rPr>
          <w:rFonts w:hint="eastAsia"/>
          <w:sz w:val="32"/>
          <w:szCs w:val="32"/>
        </w:rPr>
      </w:pPr>
      <w:r>
        <w:rPr>
          <w:rFonts w:hint="eastAsia"/>
          <w:sz w:val="32"/>
          <w:szCs w:val="32"/>
        </w:rPr>
        <w:t>合同编号：</w:t>
      </w:r>
    </w:p>
    <w:p w14:paraId="64F06CDC">
      <w:pPr>
        <w:rPr>
          <w:rFonts w:hint="eastAsia"/>
        </w:rPr>
      </w:pPr>
      <w:r>
        <w:rPr>
          <w:rFonts w:hint="eastAsia"/>
        </w:rPr>
        <w:t xml:space="preserve"> </w:t>
      </w:r>
    </w:p>
    <w:p w14:paraId="469AF896">
      <w:pPr>
        <w:rPr>
          <w:rFonts w:hint="eastAsia"/>
        </w:rPr>
      </w:pPr>
      <w:r>
        <w:rPr>
          <w:rFonts w:hint="eastAsia"/>
        </w:rPr>
        <w:t>甲    方：（采购人名称）</w:t>
      </w:r>
    </w:p>
    <w:p w14:paraId="7F73D50B">
      <w:pPr>
        <w:rPr>
          <w:rFonts w:hint="eastAsia"/>
        </w:rPr>
      </w:pPr>
      <w:r>
        <w:rPr>
          <w:rFonts w:hint="eastAsia"/>
        </w:rPr>
        <w:t>乙    方：（中标人名称）</w:t>
      </w:r>
    </w:p>
    <w:p w14:paraId="4253DB56">
      <w:pPr>
        <w:rPr>
          <w:rFonts w:hint="eastAsia"/>
        </w:rPr>
      </w:pPr>
      <w:r>
        <w:rPr>
          <w:rFonts w:hint="eastAsia"/>
        </w:rPr>
        <w:t>签订时间：    年  月</w:t>
      </w:r>
    </w:p>
    <w:p w14:paraId="2A89B572">
      <w:pPr>
        <w:rPr>
          <w:rFonts w:hint="eastAsia"/>
        </w:rPr>
      </w:pPr>
      <w:r>
        <w:rPr>
          <w:rFonts w:hint="eastAsia"/>
        </w:rPr>
        <w:t>注：本合同条款仅供参考，甲乙双方应根据实际情况进行编写。</w:t>
      </w:r>
    </w:p>
    <w:p w14:paraId="1506AA0A">
      <w:pPr>
        <w:rPr>
          <w:rFonts w:hint="eastAsia"/>
        </w:rPr>
      </w:pPr>
      <w:r>
        <w:rPr>
          <w:rFonts w:hint="eastAsia"/>
        </w:rPr>
        <w:t>甲方：_______________________________</w:t>
      </w:r>
    </w:p>
    <w:p w14:paraId="280D6F61">
      <w:pPr>
        <w:rPr>
          <w:rFonts w:hint="eastAsia"/>
        </w:rPr>
      </w:pPr>
      <w:r>
        <w:rPr>
          <w:rFonts w:hint="eastAsia"/>
        </w:rPr>
        <w:t>乙方：_______________________________</w:t>
      </w:r>
    </w:p>
    <w:p w14:paraId="42DDD2AD">
      <w:pPr>
        <w:rPr>
          <w:rFonts w:hint="eastAsia"/>
        </w:rPr>
      </w:pPr>
      <w:r>
        <w:rPr>
          <w:rFonts w:hint="eastAsia"/>
        </w:rPr>
        <w:t>甲乙双方就货物的供应及相关服务，根据《中华人民共和国民法典》及项目名称：_______ 的投标文件（项目编号：________ ）和乙方的报价承诺，经双方协商一致，共同达成如下条款：</w:t>
      </w:r>
    </w:p>
    <w:p w14:paraId="468972C0">
      <w:pPr>
        <w:numPr>
          <w:ilvl w:val="0"/>
          <w:numId w:val="1"/>
        </w:numPr>
        <w:rPr>
          <w:rFonts w:hint="eastAsia"/>
        </w:rPr>
      </w:pPr>
      <w:r>
        <w:rPr>
          <w:rFonts w:hint="eastAsia"/>
        </w:rPr>
        <w:t>标的</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left w:w="108" w:type="dxa"/>
          <w:right w:w="108" w:type="dxa"/>
        </w:tblCellMar>
      </w:tblPr>
      <w:tblGrid>
        <w:gridCol w:w="782"/>
        <w:gridCol w:w="862"/>
        <w:gridCol w:w="900"/>
        <w:gridCol w:w="1243"/>
        <w:gridCol w:w="947"/>
        <w:gridCol w:w="947"/>
        <w:gridCol w:w="947"/>
        <w:gridCol w:w="947"/>
        <w:gridCol w:w="947"/>
      </w:tblGrid>
      <w:tr w14:paraId="5AB3CE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rPr>
          <w:trHeight w:val="664" w:hRule="atLeast"/>
        </w:trPr>
        <w:tc>
          <w:tcPr>
            <w:tcW w:w="782" w:type="dxa"/>
          </w:tcPr>
          <w:p w14:paraId="6B697C15">
            <w:pPr>
              <w:rPr>
                <w:rFonts w:hint="eastAsia"/>
                <w:vertAlign w:val="baseline"/>
              </w:rPr>
            </w:pPr>
            <w:r>
              <w:rPr>
                <w:rFonts w:hint="eastAsia"/>
              </w:rPr>
              <w:t>序号</w:t>
            </w:r>
          </w:p>
        </w:tc>
        <w:tc>
          <w:tcPr>
            <w:tcW w:w="862" w:type="dxa"/>
          </w:tcPr>
          <w:p w14:paraId="7E2D70F8">
            <w:pPr>
              <w:rPr>
                <w:rFonts w:hint="eastAsia"/>
                <w:vertAlign w:val="baseline"/>
              </w:rPr>
            </w:pPr>
            <w:r>
              <w:rPr>
                <w:rFonts w:hint="eastAsia"/>
              </w:rPr>
              <w:t>名称</w:t>
            </w:r>
          </w:p>
        </w:tc>
        <w:tc>
          <w:tcPr>
            <w:tcW w:w="900" w:type="dxa"/>
          </w:tcPr>
          <w:p w14:paraId="0459014E">
            <w:pPr>
              <w:rPr>
                <w:rFonts w:hint="eastAsia"/>
                <w:vertAlign w:val="baseline"/>
              </w:rPr>
            </w:pPr>
            <w:r>
              <w:rPr>
                <w:rFonts w:hint="eastAsia"/>
              </w:rPr>
              <w:t>品牌</w:t>
            </w:r>
          </w:p>
        </w:tc>
        <w:tc>
          <w:tcPr>
            <w:tcW w:w="1243" w:type="dxa"/>
          </w:tcPr>
          <w:p w14:paraId="5DD10255">
            <w:pPr>
              <w:rPr>
                <w:rFonts w:hint="eastAsia"/>
                <w:vertAlign w:val="baseline"/>
              </w:rPr>
            </w:pPr>
            <w:r>
              <w:rPr>
                <w:rFonts w:hint="eastAsia"/>
              </w:rPr>
              <w:t>生产厂家</w:t>
            </w:r>
          </w:p>
        </w:tc>
        <w:tc>
          <w:tcPr>
            <w:tcW w:w="947" w:type="dxa"/>
          </w:tcPr>
          <w:p w14:paraId="55EAF42F">
            <w:pPr>
              <w:rPr>
                <w:rFonts w:hint="eastAsia"/>
                <w:vertAlign w:val="baseline"/>
              </w:rPr>
            </w:pPr>
            <w:r>
              <w:rPr>
                <w:rFonts w:hint="eastAsia"/>
              </w:rPr>
              <w:t>单位</w:t>
            </w:r>
          </w:p>
        </w:tc>
        <w:tc>
          <w:tcPr>
            <w:tcW w:w="947" w:type="dxa"/>
          </w:tcPr>
          <w:p w14:paraId="6E206779">
            <w:pPr>
              <w:rPr>
                <w:rFonts w:hint="eastAsia"/>
                <w:vertAlign w:val="baseline"/>
              </w:rPr>
            </w:pPr>
            <w:r>
              <w:rPr>
                <w:rFonts w:hint="eastAsia"/>
              </w:rPr>
              <w:t>数量</w:t>
            </w:r>
          </w:p>
        </w:tc>
        <w:tc>
          <w:tcPr>
            <w:tcW w:w="947" w:type="dxa"/>
          </w:tcPr>
          <w:p w14:paraId="1C6410FC">
            <w:pPr>
              <w:rPr>
                <w:rFonts w:hint="eastAsia"/>
                <w:vertAlign w:val="baseline"/>
              </w:rPr>
            </w:pPr>
            <w:r>
              <w:rPr>
                <w:rFonts w:hint="eastAsia"/>
              </w:rPr>
              <w:t>单价</w:t>
            </w:r>
          </w:p>
        </w:tc>
        <w:tc>
          <w:tcPr>
            <w:tcW w:w="947" w:type="dxa"/>
          </w:tcPr>
          <w:p w14:paraId="34EBE4C4">
            <w:pPr>
              <w:rPr>
                <w:rFonts w:hint="eastAsia"/>
                <w:vertAlign w:val="baseline"/>
              </w:rPr>
            </w:pPr>
            <w:r>
              <w:rPr>
                <w:rFonts w:hint="eastAsia"/>
              </w:rPr>
              <w:t>金额</w:t>
            </w:r>
          </w:p>
        </w:tc>
        <w:tc>
          <w:tcPr>
            <w:tcW w:w="947" w:type="dxa"/>
          </w:tcPr>
          <w:p w14:paraId="7E04AC4C">
            <w:pPr>
              <w:rPr>
                <w:rFonts w:hint="eastAsia"/>
                <w:vertAlign w:val="baseline"/>
              </w:rPr>
            </w:pPr>
            <w:r>
              <w:rPr>
                <w:rFonts w:hint="eastAsia"/>
              </w:rPr>
              <w:t>备注</w:t>
            </w:r>
          </w:p>
        </w:tc>
      </w:tr>
      <w:tr w14:paraId="7D625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2" w:type="dxa"/>
          </w:tcPr>
          <w:p w14:paraId="2E65B9DE">
            <w:pPr>
              <w:numPr>
                <w:numId w:val="0"/>
              </w:numPr>
              <w:spacing w:line="360" w:lineRule="auto"/>
              <w:rPr>
                <w:rFonts w:hint="eastAsia"/>
                <w:vertAlign w:val="baseline"/>
              </w:rPr>
            </w:pPr>
          </w:p>
        </w:tc>
        <w:tc>
          <w:tcPr>
            <w:tcW w:w="862" w:type="dxa"/>
          </w:tcPr>
          <w:p w14:paraId="70211ED0">
            <w:pPr>
              <w:numPr>
                <w:numId w:val="0"/>
              </w:numPr>
              <w:spacing w:line="360" w:lineRule="auto"/>
              <w:rPr>
                <w:rFonts w:hint="eastAsia"/>
                <w:vertAlign w:val="baseline"/>
              </w:rPr>
            </w:pPr>
          </w:p>
        </w:tc>
        <w:tc>
          <w:tcPr>
            <w:tcW w:w="900" w:type="dxa"/>
          </w:tcPr>
          <w:p w14:paraId="5FD581EE">
            <w:pPr>
              <w:numPr>
                <w:numId w:val="0"/>
              </w:numPr>
              <w:spacing w:line="360" w:lineRule="auto"/>
              <w:rPr>
                <w:rFonts w:hint="eastAsia"/>
                <w:vertAlign w:val="baseline"/>
              </w:rPr>
            </w:pPr>
          </w:p>
        </w:tc>
        <w:tc>
          <w:tcPr>
            <w:tcW w:w="1243" w:type="dxa"/>
          </w:tcPr>
          <w:p w14:paraId="17E9513B">
            <w:pPr>
              <w:numPr>
                <w:numId w:val="0"/>
              </w:numPr>
              <w:spacing w:line="360" w:lineRule="auto"/>
              <w:rPr>
                <w:rFonts w:hint="eastAsia"/>
                <w:vertAlign w:val="baseline"/>
              </w:rPr>
            </w:pPr>
          </w:p>
        </w:tc>
        <w:tc>
          <w:tcPr>
            <w:tcW w:w="947" w:type="dxa"/>
          </w:tcPr>
          <w:p w14:paraId="275CD195">
            <w:pPr>
              <w:numPr>
                <w:numId w:val="0"/>
              </w:numPr>
              <w:spacing w:line="360" w:lineRule="auto"/>
              <w:rPr>
                <w:rFonts w:hint="eastAsia"/>
                <w:vertAlign w:val="baseline"/>
              </w:rPr>
            </w:pPr>
          </w:p>
        </w:tc>
        <w:tc>
          <w:tcPr>
            <w:tcW w:w="947" w:type="dxa"/>
          </w:tcPr>
          <w:p w14:paraId="1E31293C">
            <w:pPr>
              <w:numPr>
                <w:numId w:val="0"/>
              </w:numPr>
              <w:spacing w:line="360" w:lineRule="auto"/>
              <w:rPr>
                <w:rFonts w:hint="eastAsia"/>
                <w:vertAlign w:val="baseline"/>
              </w:rPr>
            </w:pPr>
          </w:p>
        </w:tc>
        <w:tc>
          <w:tcPr>
            <w:tcW w:w="947" w:type="dxa"/>
          </w:tcPr>
          <w:p w14:paraId="4DA8D3FF">
            <w:pPr>
              <w:numPr>
                <w:numId w:val="0"/>
              </w:numPr>
              <w:spacing w:line="360" w:lineRule="auto"/>
              <w:rPr>
                <w:rFonts w:hint="eastAsia"/>
                <w:vertAlign w:val="baseline"/>
              </w:rPr>
            </w:pPr>
          </w:p>
        </w:tc>
        <w:tc>
          <w:tcPr>
            <w:tcW w:w="947" w:type="dxa"/>
          </w:tcPr>
          <w:p w14:paraId="22BC6871">
            <w:pPr>
              <w:numPr>
                <w:numId w:val="0"/>
              </w:numPr>
              <w:spacing w:line="360" w:lineRule="auto"/>
              <w:rPr>
                <w:rFonts w:hint="eastAsia"/>
                <w:vertAlign w:val="baseline"/>
              </w:rPr>
            </w:pPr>
          </w:p>
        </w:tc>
        <w:tc>
          <w:tcPr>
            <w:tcW w:w="947" w:type="dxa"/>
          </w:tcPr>
          <w:p w14:paraId="06EB2F59">
            <w:pPr>
              <w:numPr>
                <w:numId w:val="0"/>
              </w:numPr>
              <w:spacing w:line="360" w:lineRule="auto"/>
              <w:rPr>
                <w:rFonts w:hint="eastAsia"/>
                <w:vertAlign w:val="baseline"/>
              </w:rPr>
            </w:pPr>
          </w:p>
        </w:tc>
      </w:tr>
      <w:tr w14:paraId="763F7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2" w:type="dxa"/>
          </w:tcPr>
          <w:p w14:paraId="66AE3D88">
            <w:pPr>
              <w:numPr>
                <w:numId w:val="0"/>
              </w:numPr>
              <w:spacing w:line="360" w:lineRule="auto"/>
              <w:rPr>
                <w:rFonts w:hint="eastAsia"/>
                <w:vertAlign w:val="baseline"/>
              </w:rPr>
            </w:pPr>
          </w:p>
        </w:tc>
        <w:tc>
          <w:tcPr>
            <w:tcW w:w="862" w:type="dxa"/>
          </w:tcPr>
          <w:p w14:paraId="3011B21D">
            <w:pPr>
              <w:numPr>
                <w:numId w:val="0"/>
              </w:numPr>
              <w:spacing w:line="360" w:lineRule="auto"/>
              <w:rPr>
                <w:rFonts w:hint="eastAsia"/>
                <w:vertAlign w:val="baseline"/>
              </w:rPr>
            </w:pPr>
          </w:p>
        </w:tc>
        <w:tc>
          <w:tcPr>
            <w:tcW w:w="900" w:type="dxa"/>
          </w:tcPr>
          <w:p w14:paraId="6E0B3730">
            <w:pPr>
              <w:numPr>
                <w:numId w:val="0"/>
              </w:numPr>
              <w:spacing w:line="360" w:lineRule="auto"/>
              <w:rPr>
                <w:rFonts w:hint="eastAsia"/>
                <w:vertAlign w:val="baseline"/>
              </w:rPr>
            </w:pPr>
          </w:p>
        </w:tc>
        <w:tc>
          <w:tcPr>
            <w:tcW w:w="1243" w:type="dxa"/>
          </w:tcPr>
          <w:p w14:paraId="2F618064">
            <w:pPr>
              <w:numPr>
                <w:numId w:val="0"/>
              </w:numPr>
              <w:spacing w:line="360" w:lineRule="auto"/>
              <w:rPr>
                <w:rFonts w:hint="eastAsia"/>
                <w:vertAlign w:val="baseline"/>
              </w:rPr>
            </w:pPr>
          </w:p>
        </w:tc>
        <w:tc>
          <w:tcPr>
            <w:tcW w:w="947" w:type="dxa"/>
          </w:tcPr>
          <w:p w14:paraId="227B901B">
            <w:pPr>
              <w:numPr>
                <w:numId w:val="0"/>
              </w:numPr>
              <w:spacing w:line="360" w:lineRule="auto"/>
              <w:rPr>
                <w:rFonts w:hint="eastAsia"/>
                <w:vertAlign w:val="baseline"/>
              </w:rPr>
            </w:pPr>
          </w:p>
        </w:tc>
        <w:tc>
          <w:tcPr>
            <w:tcW w:w="947" w:type="dxa"/>
          </w:tcPr>
          <w:p w14:paraId="308E8913">
            <w:pPr>
              <w:numPr>
                <w:numId w:val="0"/>
              </w:numPr>
              <w:spacing w:line="360" w:lineRule="auto"/>
              <w:rPr>
                <w:rFonts w:hint="eastAsia"/>
                <w:vertAlign w:val="baseline"/>
              </w:rPr>
            </w:pPr>
          </w:p>
        </w:tc>
        <w:tc>
          <w:tcPr>
            <w:tcW w:w="947" w:type="dxa"/>
          </w:tcPr>
          <w:p w14:paraId="78F8A80D">
            <w:pPr>
              <w:numPr>
                <w:numId w:val="0"/>
              </w:numPr>
              <w:spacing w:line="360" w:lineRule="auto"/>
              <w:rPr>
                <w:rFonts w:hint="eastAsia"/>
                <w:vertAlign w:val="baseline"/>
              </w:rPr>
            </w:pPr>
          </w:p>
        </w:tc>
        <w:tc>
          <w:tcPr>
            <w:tcW w:w="947" w:type="dxa"/>
          </w:tcPr>
          <w:p w14:paraId="4DF67CF7">
            <w:pPr>
              <w:numPr>
                <w:numId w:val="0"/>
              </w:numPr>
              <w:spacing w:line="360" w:lineRule="auto"/>
              <w:rPr>
                <w:rFonts w:hint="eastAsia"/>
                <w:vertAlign w:val="baseline"/>
              </w:rPr>
            </w:pPr>
          </w:p>
        </w:tc>
        <w:tc>
          <w:tcPr>
            <w:tcW w:w="947" w:type="dxa"/>
          </w:tcPr>
          <w:p w14:paraId="6DE4F1B4">
            <w:pPr>
              <w:numPr>
                <w:numId w:val="0"/>
              </w:numPr>
              <w:spacing w:line="360" w:lineRule="auto"/>
              <w:rPr>
                <w:rFonts w:hint="eastAsia"/>
                <w:vertAlign w:val="baseline"/>
              </w:rPr>
            </w:pPr>
          </w:p>
        </w:tc>
      </w:tr>
      <w:tr w14:paraId="7D595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2" w:type="dxa"/>
          </w:tcPr>
          <w:p w14:paraId="7192F026">
            <w:pPr>
              <w:numPr>
                <w:numId w:val="0"/>
              </w:numPr>
              <w:spacing w:line="360" w:lineRule="auto"/>
              <w:rPr>
                <w:rFonts w:hint="eastAsia"/>
                <w:vertAlign w:val="baseline"/>
              </w:rPr>
            </w:pPr>
          </w:p>
        </w:tc>
        <w:tc>
          <w:tcPr>
            <w:tcW w:w="862" w:type="dxa"/>
          </w:tcPr>
          <w:p w14:paraId="10BA36C3">
            <w:pPr>
              <w:numPr>
                <w:numId w:val="0"/>
              </w:numPr>
              <w:spacing w:line="360" w:lineRule="auto"/>
              <w:rPr>
                <w:rFonts w:hint="eastAsia"/>
                <w:vertAlign w:val="baseline"/>
              </w:rPr>
            </w:pPr>
          </w:p>
        </w:tc>
        <w:tc>
          <w:tcPr>
            <w:tcW w:w="900" w:type="dxa"/>
          </w:tcPr>
          <w:p w14:paraId="30903E47">
            <w:pPr>
              <w:numPr>
                <w:numId w:val="0"/>
              </w:numPr>
              <w:spacing w:line="360" w:lineRule="auto"/>
              <w:rPr>
                <w:rFonts w:hint="eastAsia"/>
                <w:vertAlign w:val="baseline"/>
              </w:rPr>
            </w:pPr>
          </w:p>
        </w:tc>
        <w:tc>
          <w:tcPr>
            <w:tcW w:w="1243" w:type="dxa"/>
          </w:tcPr>
          <w:p w14:paraId="37CB987A">
            <w:pPr>
              <w:numPr>
                <w:numId w:val="0"/>
              </w:numPr>
              <w:spacing w:line="360" w:lineRule="auto"/>
              <w:rPr>
                <w:rFonts w:hint="eastAsia"/>
                <w:vertAlign w:val="baseline"/>
              </w:rPr>
            </w:pPr>
          </w:p>
        </w:tc>
        <w:tc>
          <w:tcPr>
            <w:tcW w:w="947" w:type="dxa"/>
          </w:tcPr>
          <w:p w14:paraId="67F1C602">
            <w:pPr>
              <w:numPr>
                <w:numId w:val="0"/>
              </w:numPr>
              <w:spacing w:line="360" w:lineRule="auto"/>
              <w:rPr>
                <w:rFonts w:hint="eastAsia"/>
                <w:vertAlign w:val="baseline"/>
              </w:rPr>
            </w:pPr>
          </w:p>
        </w:tc>
        <w:tc>
          <w:tcPr>
            <w:tcW w:w="947" w:type="dxa"/>
          </w:tcPr>
          <w:p w14:paraId="4D1C5E40">
            <w:pPr>
              <w:numPr>
                <w:numId w:val="0"/>
              </w:numPr>
              <w:spacing w:line="360" w:lineRule="auto"/>
              <w:rPr>
                <w:rFonts w:hint="eastAsia"/>
                <w:vertAlign w:val="baseline"/>
              </w:rPr>
            </w:pPr>
          </w:p>
        </w:tc>
        <w:tc>
          <w:tcPr>
            <w:tcW w:w="947" w:type="dxa"/>
          </w:tcPr>
          <w:p w14:paraId="03AEA173">
            <w:pPr>
              <w:numPr>
                <w:numId w:val="0"/>
              </w:numPr>
              <w:spacing w:line="360" w:lineRule="auto"/>
              <w:rPr>
                <w:rFonts w:hint="eastAsia"/>
                <w:vertAlign w:val="baseline"/>
              </w:rPr>
            </w:pPr>
          </w:p>
        </w:tc>
        <w:tc>
          <w:tcPr>
            <w:tcW w:w="947" w:type="dxa"/>
          </w:tcPr>
          <w:p w14:paraId="5FE7D348">
            <w:pPr>
              <w:numPr>
                <w:numId w:val="0"/>
              </w:numPr>
              <w:spacing w:line="360" w:lineRule="auto"/>
              <w:rPr>
                <w:rFonts w:hint="eastAsia"/>
                <w:vertAlign w:val="baseline"/>
              </w:rPr>
            </w:pPr>
          </w:p>
        </w:tc>
        <w:tc>
          <w:tcPr>
            <w:tcW w:w="947" w:type="dxa"/>
          </w:tcPr>
          <w:p w14:paraId="7E34E09C">
            <w:pPr>
              <w:numPr>
                <w:numId w:val="0"/>
              </w:numPr>
              <w:spacing w:line="360" w:lineRule="auto"/>
              <w:rPr>
                <w:rFonts w:hint="eastAsia"/>
                <w:vertAlign w:val="baseline"/>
              </w:rPr>
            </w:pPr>
          </w:p>
        </w:tc>
      </w:tr>
      <w:tr w14:paraId="4627A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2" w:type="dxa"/>
          </w:tcPr>
          <w:p w14:paraId="458C2046">
            <w:pPr>
              <w:numPr>
                <w:numId w:val="0"/>
              </w:numPr>
              <w:spacing w:line="360" w:lineRule="auto"/>
              <w:rPr>
                <w:rFonts w:hint="eastAsia"/>
                <w:vertAlign w:val="baseline"/>
              </w:rPr>
            </w:pPr>
          </w:p>
        </w:tc>
        <w:tc>
          <w:tcPr>
            <w:tcW w:w="862" w:type="dxa"/>
          </w:tcPr>
          <w:p w14:paraId="2BD56175">
            <w:pPr>
              <w:numPr>
                <w:numId w:val="0"/>
              </w:numPr>
              <w:spacing w:line="360" w:lineRule="auto"/>
              <w:rPr>
                <w:rFonts w:hint="eastAsia"/>
                <w:vertAlign w:val="baseline"/>
              </w:rPr>
            </w:pPr>
          </w:p>
        </w:tc>
        <w:tc>
          <w:tcPr>
            <w:tcW w:w="900" w:type="dxa"/>
          </w:tcPr>
          <w:p w14:paraId="45ECDB15">
            <w:pPr>
              <w:numPr>
                <w:numId w:val="0"/>
              </w:numPr>
              <w:spacing w:line="360" w:lineRule="auto"/>
              <w:rPr>
                <w:rFonts w:hint="eastAsia"/>
                <w:vertAlign w:val="baseline"/>
              </w:rPr>
            </w:pPr>
          </w:p>
        </w:tc>
        <w:tc>
          <w:tcPr>
            <w:tcW w:w="1243" w:type="dxa"/>
          </w:tcPr>
          <w:p w14:paraId="1C7F8445">
            <w:pPr>
              <w:numPr>
                <w:numId w:val="0"/>
              </w:numPr>
              <w:spacing w:line="360" w:lineRule="auto"/>
              <w:rPr>
                <w:rFonts w:hint="eastAsia"/>
                <w:vertAlign w:val="baseline"/>
              </w:rPr>
            </w:pPr>
          </w:p>
        </w:tc>
        <w:tc>
          <w:tcPr>
            <w:tcW w:w="947" w:type="dxa"/>
          </w:tcPr>
          <w:p w14:paraId="2531FF9A">
            <w:pPr>
              <w:numPr>
                <w:numId w:val="0"/>
              </w:numPr>
              <w:spacing w:line="360" w:lineRule="auto"/>
              <w:rPr>
                <w:rFonts w:hint="eastAsia"/>
                <w:vertAlign w:val="baseline"/>
              </w:rPr>
            </w:pPr>
          </w:p>
        </w:tc>
        <w:tc>
          <w:tcPr>
            <w:tcW w:w="947" w:type="dxa"/>
          </w:tcPr>
          <w:p w14:paraId="2688A2C1">
            <w:pPr>
              <w:numPr>
                <w:numId w:val="0"/>
              </w:numPr>
              <w:spacing w:line="360" w:lineRule="auto"/>
              <w:rPr>
                <w:rFonts w:hint="eastAsia"/>
                <w:vertAlign w:val="baseline"/>
              </w:rPr>
            </w:pPr>
          </w:p>
        </w:tc>
        <w:tc>
          <w:tcPr>
            <w:tcW w:w="947" w:type="dxa"/>
          </w:tcPr>
          <w:p w14:paraId="0ED30B46">
            <w:pPr>
              <w:numPr>
                <w:numId w:val="0"/>
              </w:numPr>
              <w:spacing w:line="360" w:lineRule="auto"/>
              <w:rPr>
                <w:rFonts w:hint="eastAsia"/>
                <w:vertAlign w:val="baseline"/>
              </w:rPr>
            </w:pPr>
          </w:p>
        </w:tc>
        <w:tc>
          <w:tcPr>
            <w:tcW w:w="947" w:type="dxa"/>
          </w:tcPr>
          <w:p w14:paraId="6295C844">
            <w:pPr>
              <w:numPr>
                <w:numId w:val="0"/>
              </w:numPr>
              <w:spacing w:line="360" w:lineRule="auto"/>
              <w:rPr>
                <w:rFonts w:hint="eastAsia"/>
                <w:vertAlign w:val="baseline"/>
              </w:rPr>
            </w:pPr>
          </w:p>
        </w:tc>
        <w:tc>
          <w:tcPr>
            <w:tcW w:w="947" w:type="dxa"/>
          </w:tcPr>
          <w:p w14:paraId="17E11E1D">
            <w:pPr>
              <w:numPr>
                <w:numId w:val="0"/>
              </w:numPr>
              <w:spacing w:line="360" w:lineRule="auto"/>
              <w:rPr>
                <w:rFonts w:hint="eastAsia"/>
                <w:vertAlign w:val="baseline"/>
              </w:rPr>
            </w:pPr>
          </w:p>
        </w:tc>
      </w:tr>
      <w:tr w14:paraId="056AF0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108" w:type="dxa"/>
            <w:right w:w="108" w:type="dxa"/>
          </w:tblCellMar>
        </w:tblPrEx>
        <w:tc>
          <w:tcPr>
            <w:tcW w:w="782" w:type="dxa"/>
          </w:tcPr>
          <w:p w14:paraId="3582DA74">
            <w:pPr>
              <w:numPr>
                <w:numId w:val="0"/>
              </w:numPr>
              <w:spacing w:line="360" w:lineRule="auto"/>
              <w:rPr>
                <w:rFonts w:hint="eastAsia"/>
                <w:vertAlign w:val="baseline"/>
              </w:rPr>
            </w:pPr>
          </w:p>
        </w:tc>
        <w:tc>
          <w:tcPr>
            <w:tcW w:w="862" w:type="dxa"/>
          </w:tcPr>
          <w:p w14:paraId="3EB5FABF">
            <w:pPr>
              <w:numPr>
                <w:numId w:val="0"/>
              </w:numPr>
              <w:spacing w:line="360" w:lineRule="auto"/>
              <w:rPr>
                <w:rFonts w:hint="eastAsia"/>
                <w:vertAlign w:val="baseline"/>
              </w:rPr>
            </w:pPr>
          </w:p>
        </w:tc>
        <w:tc>
          <w:tcPr>
            <w:tcW w:w="900" w:type="dxa"/>
          </w:tcPr>
          <w:p w14:paraId="26E2A75A">
            <w:pPr>
              <w:numPr>
                <w:numId w:val="0"/>
              </w:numPr>
              <w:spacing w:line="360" w:lineRule="auto"/>
              <w:rPr>
                <w:rFonts w:hint="eastAsia"/>
                <w:vertAlign w:val="baseline"/>
              </w:rPr>
            </w:pPr>
          </w:p>
        </w:tc>
        <w:tc>
          <w:tcPr>
            <w:tcW w:w="1243" w:type="dxa"/>
          </w:tcPr>
          <w:p w14:paraId="127E0715">
            <w:pPr>
              <w:numPr>
                <w:numId w:val="0"/>
              </w:numPr>
              <w:spacing w:line="360" w:lineRule="auto"/>
              <w:rPr>
                <w:rFonts w:hint="eastAsia"/>
                <w:vertAlign w:val="baseline"/>
              </w:rPr>
            </w:pPr>
          </w:p>
        </w:tc>
        <w:tc>
          <w:tcPr>
            <w:tcW w:w="947" w:type="dxa"/>
          </w:tcPr>
          <w:p w14:paraId="00D2AE3C">
            <w:pPr>
              <w:numPr>
                <w:numId w:val="0"/>
              </w:numPr>
              <w:spacing w:line="360" w:lineRule="auto"/>
              <w:rPr>
                <w:rFonts w:hint="eastAsia"/>
                <w:vertAlign w:val="baseline"/>
              </w:rPr>
            </w:pPr>
          </w:p>
        </w:tc>
        <w:tc>
          <w:tcPr>
            <w:tcW w:w="947" w:type="dxa"/>
          </w:tcPr>
          <w:p w14:paraId="0F981470">
            <w:pPr>
              <w:numPr>
                <w:numId w:val="0"/>
              </w:numPr>
              <w:spacing w:line="360" w:lineRule="auto"/>
              <w:rPr>
                <w:rFonts w:hint="eastAsia"/>
                <w:vertAlign w:val="baseline"/>
              </w:rPr>
            </w:pPr>
          </w:p>
        </w:tc>
        <w:tc>
          <w:tcPr>
            <w:tcW w:w="947" w:type="dxa"/>
          </w:tcPr>
          <w:p w14:paraId="06CEF031">
            <w:pPr>
              <w:numPr>
                <w:numId w:val="0"/>
              </w:numPr>
              <w:spacing w:line="360" w:lineRule="auto"/>
              <w:rPr>
                <w:rFonts w:hint="eastAsia"/>
                <w:vertAlign w:val="baseline"/>
              </w:rPr>
            </w:pPr>
          </w:p>
        </w:tc>
        <w:tc>
          <w:tcPr>
            <w:tcW w:w="947" w:type="dxa"/>
          </w:tcPr>
          <w:p w14:paraId="3D3CED42">
            <w:pPr>
              <w:numPr>
                <w:numId w:val="0"/>
              </w:numPr>
              <w:spacing w:line="360" w:lineRule="auto"/>
              <w:rPr>
                <w:rFonts w:hint="eastAsia"/>
                <w:vertAlign w:val="baseline"/>
              </w:rPr>
            </w:pPr>
          </w:p>
        </w:tc>
        <w:tc>
          <w:tcPr>
            <w:tcW w:w="947" w:type="dxa"/>
          </w:tcPr>
          <w:p w14:paraId="5425943E">
            <w:pPr>
              <w:numPr>
                <w:numId w:val="0"/>
              </w:numPr>
              <w:spacing w:line="360" w:lineRule="auto"/>
              <w:rPr>
                <w:rFonts w:hint="eastAsia"/>
                <w:vertAlign w:val="baseline"/>
              </w:rPr>
            </w:pPr>
          </w:p>
        </w:tc>
      </w:tr>
    </w:tbl>
    <w:p w14:paraId="0FD1C46B">
      <w:pPr>
        <w:rPr>
          <w:rFonts w:hint="eastAsia"/>
        </w:rPr>
      </w:pPr>
      <w:r>
        <w:rPr>
          <w:rFonts w:hint="eastAsia"/>
        </w:rPr>
        <w:t>以上货物具体的供货范围、技术规格和技术要求详见合同附件。</w:t>
      </w:r>
    </w:p>
    <w:p w14:paraId="27086C1C">
      <w:pPr>
        <w:rPr>
          <w:rFonts w:hint="eastAsia"/>
        </w:rPr>
      </w:pPr>
      <w:r>
        <w:rPr>
          <w:rFonts w:hint="eastAsia"/>
        </w:rPr>
        <w:t>二、价格</w:t>
      </w:r>
    </w:p>
    <w:p w14:paraId="7A8B9888">
      <w:pPr>
        <w:rPr>
          <w:rFonts w:hint="eastAsia"/>
        </w:rPr>
      </w:pPr>
      <w:r>
        <w:rPr>
          <w:rFonts w:hint="eastAsia"/>
        </w:rPr>
        <w:t>1、合同服务期内总价款不能超过人民币          （￥         元）。</w:t>
      </w:r>
    </w:p>
    <w:p w14:paraId="123AF6C5">
      <w:pPr>
        <w:rPr>
          <w:rFonts w:hint="eastAsia"/>
        </w:rPr>
      </w:pPr>
      <w:r>
        <w:rPr>
          <w:rFonts w:hint="eastAsia"/>
        </w:rPr>
        <w:t>2、单价包含税、包装、运输、拆卸、安装、清理垃圾等全部费用。</w:t>
      </w:r>
    </w:p>
    <w:p w14:paraId="3F9F9FD4">
      <w:pPr>
        <w:rPr>
          <w:rFonts w:hint="eastAsia"/>
        </w:rPr>
      </w:pPr>
      <w:r>
        <w:rPr>
          <w:rFonts w:hint="eastAsia"/>
        </w:rPr>
        <w:t>3、单价一次性包死，乙方不得再增加，不受市场价格变化因素的影响。</w:t>
      </w:r>
    </w:p>
    <w:p w14:paraId="5E6E908A">
      <w:pPr>
        <w:rPr>
          <w:rFonts w:hint="eastAsia"/>
        </w:rPr>
      </w:pPr>
      <w:r>
        <w:rPr>
          <w:rFonts w:hint="eastAsia"/>
        </w:rPr>
        <w:t>三、款项结算：</w:t>
      </w:r>
    </w:p>
    <w:p w14:paraId="0949FCCD">
      <w:pPr>
        <w:rPr>
          <w:rFonts w:hint="eastAsia"/>
        </w:rPr>
      </w:pPr>
      <w:r>
        <w:rPr>
          <w:rFonts w:hint="eastAsia"/>
        </w:rPr>
        <w:t>1、 本项目为固定单价，各供应商需提供招标文件要求的规格和单位，超出规格、单位，价格不增加。</w:t>
      </w:r>
    </w:p>
    <w:p w14:paraId="1B066568">
      <w:pPr>
        <w:rPr>
          <w:rFonts w:hint="eastAsia"/>
        </w:rPr>
      </w:pPr>
      <w:r>
        <w:rPr>
          <w:rFonts w:hint="eastAsia"/>
        </w:rPr>
        <w:t>2、发票需随货物一同送达库房，按照招标参数进行验收清点并办理入库手续，没有发票、或发票有误或与货物不符或实际送达数量不符合申请量而造成的延误由中标单位承担一切责任。</w:t>
      </w:r>
    </w:p>
    <w:p w14:paraId="17C3BA1E">
      <w:pPr>
        <w:rPr>
          <w:rFonts w:hint="eastAsia"/>
        </w:rPr>
      </w:pPr>
      <w:r>
        <w:rPr>
          <w:rFonts w:hint="eastAsia"/>
        </w:rPr>
        <w:t>3、货物入库之日起次月进行账务报销。即每月10日之前完成入库手续的发票将在次月底左右完成账务报销，每月10日之后完成入库手续的发票将视为次月递交发票。</w:t>
      </w:r>
    </w:p>
    <w:p w14:paraId="299F5449">
      <w:pPr>
        <w:rPr>
          <w:rFonts w:hint="eastAsia"/>
        </w:rPr>
      </w:pPr>
      <w:r>
        <w:rPr>
          <w:rFonts w:hint="eastAsia"/>
        </w:rPr>
        <w:t>4、付款方式：据实结算，乙方开具等额合规发票。</w:t>
      </w:r>
    </w:p>
    <w:p w14:paraId="693BF3B8">
      <w:pPr>
        <w:rPr>
          <w:rFonts w:hint="eastAsia"/>
        </w:rPr>
      </w:pPr>
      <w:r>
        <w:rPr>
          <w:rFonts w:hint="eastAsia"/>
        </w:rPr>
        <w:t>4、履约保证金收取与退还：乙方应当在中标结果发布后五个工作日内将项目履约保证金（年预算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无息退还履约保证金。</w:t>
      </w:r>
    </w:p>
    <w:p w14:paraId="17CFF1C3">
      <w:pPr>
        <w:rPr>
          <w:rFonts w:hint="eastAsia"/>
        </w:rPr>
      </w:pPr>
      <w:r>
        <w:rPr>
          <w:rFonts w:hint="eastAsia"/>
        </w:rPr>
        <w:t>甲方基本户户名：西安市红会医院</w:t>
      </w:r>
    </w:p>
    <w:p w14:paraId="7406B5A7">
      <w:pPr>
        <w:rPr>
          <w:rFonts w:hint="eastAsia"/>
        </w:rPr>
      </w:pPr>
      <w:r>
        <w:rPr>
          <w:rFonts w:hint="eastAsia"/>
        </w:rPr>
        <w:t>账号：102407334632</w:t>
      </w:r>
    </w:p>
    <w:p w14:paraId="7F0D291E">
      <w:pPr>
        <w:rPr>
          <w:rFonts w:hint="eastAsia"/>
        </w:rPr>
      </w:pPr>
      <w:r>
        <w:rPr>
          <w:rFonts w:hint="eastAsia"/>
        </w:rPr>
        <w:t>开户行：中行西安长安路支行</w:t>
      </w:r>
    </w:p>
    <w:p w14:paraId="14B3485A">
      <w:pPr>
        <w:rPr>
          <w:rFonts w:hint="eastAsia"/>
        </w:rPr>
      </w:pPr>
      <w:r>
        <w:rPr>
          <w:rFonts w:hint="eastAsia"/>
        </w:rPr>
        <w:t>注：转账请注明用途一次性缴纳总预算的5%作为供货期内的履约保证金，一年之后无质量问题后无息退还。</w:t>
      </w:r>
    </w:p>
    <w:p w14:paraId="0E30B9FB">
      <w:pPr>
        <w:rPr>
          <w:rFonts w:hint="eastAsia"/>
        </w:rPr>
      </w:pPr>
      <w:r>
        <w:rPr>
          <w:rFonts w:hint="eastAsia"/>
        </w:rPr>
        <w:t>四、货物产地及标准</w:t>
      </w:r>
    </w:p>
    <w:p w14:paraId="550362E5">
      <w:pPr>
        <w:rPr>
          <w:rFonts w:hint="eastAsia"/>
        </w:rPr>
      </w:pPr>
      <w:r>
        <w:rPr>
          <w:rFonts w:hint="eastAsia"/>
        </w:rPr>
        <w:t>1、货物必须保证质量符合国家相关部门规定的标准，尺寸、质量等符合医院的要求，满足招标文件要求，与投标所留样品品质一致。</w:t>
      </w:r>
    </w:p>
    <w:p w14:paraId="544D8EC9">
      <w:pPr>
        <w:rPr>
          <w:rFonts w:hint="eastAsia"/>
        </w:rPr>
      </w:pPr>
      <w:r>
        <w:rPr>
          <w:rFonts w:hint="eastAsia"/>
        </w:rPr>
        <w:t>2、根据供货期内所供货物质量，采购单位有权在必要时对中标单位在服务期内提供的任意批次、任意货物进行质量抽查，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w:t>
      </w:r>
    </w:p>
    <w:p w14:paraId="7E3CD34D">
      <w:pPr>
        <w:rPr>
          <w:rFonts w:hint="eastAsia"/>
        </w:rPr>
      </w:pPr>
      <w:r>
        <w:rPr>
          <w:rFonts w:hint="eastAsia"/>
        </w:rPr>
        <w:t>3、货物在使用过程中如遇到质量问题，中标单位应在接到采购单位的通知后4小时内响应，24小时内完成货物的重新配送。如遇使用问题，中标单位应在接到采购单位通知后4小时内响应，24小时内完成无条件协助。</w:t>
      </w:r>
    </w:p>
    <w:p w14:paraId="5C9139C5">
      <w:pPr>
        <w:rPr>
          <w:rFonts w:hint="eastAsia"/>
        </w:rPr>
      </w:pPr>
      <w:r>
        <w:rPr>
          <w:rFonts w:hint="eastAsia"/>
        </w:rPr>
        <w:t>4、投标供应商应保证给医院提供的的产品或产品任何部分非他人所有或与他人共有，未设有抵押权、租赁权及其它任何可能出现的法律纠纷。一旦出现此类法律问题，投标供应商应承担全部责任。</w:t>
      </w:r>
    </w:p>
    <w:p w14:paraId="637F7AA9">
      <w:pPr>
        <w:rPr>
          <w:rFonts w:hint="eastAsia"/>
        </w:rPr>
      </w:pPr>
      <w:r>
        <w:rPr>
          <w:rFonts w:hint="eastAsia"/>
        </w:rPr>
        <w:t>五、运输、保管及保险</w:t>
      </w:r>
    </w:p>
    <w:p w14:paraId="324BB429">
      <w:pPr>
        <w:rPr>
          <w:rFonts w:hint="eastAsia"/>
        </w:rPr>
      </w:pPr>
      <w:r>
        <w:rPr>
          <w:rFonts w:hint="eastAsia"/>
        </w:rPr>
        <w:t>1、运输由乙方负责，运杂费已包含在合同总价内，包括从货物供应地点至交货地点所含的运输费、装卸费、仓储费、保险费等全部费用。</w:t>
      </w:r>
    </w:p>
    <w:p w14:paraId="7C286EFA">
      <w:pPr>
        <w:rPr>
          <w:rFonts w:hint="eastAsia"/>
        </w:rPr>
      </w:pPr>
      <w:r>
        <w:rPr>
          <w:rFonts w:hint="eastAsia"/>
        </w:rPr>
        <w:t>2、运输方式由乙方自行选择，但必须保证按期交货。</w:t>
      </w:r>
    </w:p>
    <w:p w14:paraId="25D5B59B">
      <w:pPr>
        <w:rPr>
          <w:rFonts w:hint="eastAsia"/>
        </w:rPr>
      </w:pPr>
      <w:r>
        <w:rPr>
          <w:rFonts w:hint="eastAsia"/>
        </w:rPr>
        <w:t>3、因运输产生的一切风险及质量问题均由乙方承担。</w:t>
      </w:r>
    </w:p>
    <w:p w14:paraId="3764755A">
      <w:pPr>
        <w:rPr>
          <w:rFonts w:hint="eastAsia"/>
        </w:rPr>
      </w:pPr>
      <w:r>
        <w:rPr>
          <w:rFonts w:hint="eastAsia"/>
        </w:rPr>
        <w:t>六、交货条件</w:t>
      </w:r>
    </w:p>
    <w:p w14:paraId="2CBAFC07">
      <w:pPr>
        <w:rPr>
          <w:rFonts w:hint="eastAsia"/>
        </w:rPr>
      </w:pPr>
      <w:r>
        <w:rPr>
          <w:rFonts w:hint="eastAsia"/>
        </w:rPr>
        <w:t>1、交货地点：西安市红会医院指定地点。</w:t>
      </w:r>
    </w:p>
    <w:p w14:paraId="13B71D49">
      <w:pPr>
        <w:rPr>
          <w:rFonts w:hint="eastAsia"/>
        </w:rPr>
      </w:pPr>
      <w:r>
        <w:rPr>
          <w:rFonts w:hint="eastAsia"/>
        </w:rPr>
        <w:t>2、供货期：自合同签订之日起一年，或一年内完成项目预算金额合同自动终止，按需采购。</w:t>
      </w:r>
    </w:p>
    <w:p w14:paraId="6018726C">
      <w:pPr>
        <w:rPr>
          <w:rFonts w:hint="eastAsia"/>
        </w:rPr>
      </w:pPr>
      <w:r>
        <w:rPr>
          <w:rFonts w:hint="eastAsia"/>
        </w:rPr>
        <w:t>3、交货时间：：接到采购单位通知后，需4小时之内响应完成确认。并在确认后</w:t>
      </w:r>
      <w:r>
        <w:rPr>
          <w:rFonts w:hint="eastAsia"/>
          <w:lang w:val="en-US" w:eastAsia="zh-CN"/>
        </w:rPr>
        <w:t>3</w:t>
      </w:r>
      <w:r>
        <w:rPr>
          <w:rFonts w:hint="eastAsia"/>
        </w:rPr>
        <w:t>日内配送至采购单位库房。紧急状态中标单位需无条件协助采购单位，加急完成配送货物。</w:t>
      </w:r>
    </w:p>
    <w:p w14:paraId="73A5A435">
      <w:pPr>
        <w:rPr>
          <w:rFonts w:hint="eastAsia"/>
        </w:rPr>
      </w:pPr>
      <w:r>
        <w:rPr>
          <w:rFonts w:hint="eastAsia"/>
        </w:rPr>
        <w:t>七、验收要求</w:t>
      </w:r>
    </w:p>
    <w:p w14:paraId="5B77DCC8">
      <w:pPr>
        <w:rPr>
          <w:rFonts w:hint="eastAsia"/>
        </w:rPr>
      </w:pPr>
      <w:r>
        <w:rPr>
          <w:rFonts w:hint="eastAsia"/>
        </w:rPr>
        <w:t>1、验收由甲方与乙方及相关人员依照国家有关标准、合同及有关附件要求进行。所有货物、器材在开箱时必须完好，无破损，配置与装箱单相符，数量、质量及性能不低于甲方投标文件要求。</w:t>
      </w:r>
    </w:p>
    <w:p w14:paraId="358F37A8">
      <w:pPr>
        <w:rPr>
          <w:rFonts w:hint="eastAsia"/>
        </w:rPr>
      </w:pPr>
      <w:r>
        <w:rPr>
          <w:rFonts w:hint="eastAsia"/>
        </w:rPr>
        <w:t>2、拆箱后，乙方应对其全部产品进行对比，如有出入应立即书面记录，由供货商解决，如影响使用则按合同有关条款处理。登记册作为验收文档之一。</w:t>
      </w:r>
    </w:p>
    <w:p w14:paraId="6B37204D">
      <w:pPr>
        <w:rPr>
          <w:rFonts w:hint="eastAsia"/>
        </w:rPr>
      </w:pPr>
      <w:r>
        <w:rPr>
          <w:rFonts w:hint="eastAsia"/>
        </w:rPr>
        <w:t>3、甲方要求对全部货物规格、数量、外型、外观进验收。</w:t>
      </w:r>
    </w:p>
    <w:p w14:paraId="454B24AA">
      <w:pPr>
        <w:rPr>
          <w:rFonts w:hint="eastAsia"/>
        </w:rPr>
      </w:pPr>
      <w:r>
        <w:rPr>
          <w:rFonts w:hint="eastAsia"/>
        </w:rPr>
        <w:t>八、服务要求</w:t>
      </w:r>
    </w:p>
    <w:p w14:paraId="2D71075F">
      <w:pPr>
        <w:rPr>
          <w:rFonts w:hint="eastAsia"/>
        </w:rPr>
      </w:pPr>
      <w:r>
        <w:rPr>
          <w:rFonts w:hint="eastAsia"/>
        </w:rPr>
        <w:t>1、本次招标单价，每月根据采购单位计划制作数量进行申报制作。单价包含税、包装、运输、拆卸、安装、清理垃圾等一切费用。预算金额仅供参考，结付以实际发生金额为准。</w:t>
      </w:r>
    </w:p>
    <w:p w14:paraId="339D412B">
      <w:pPr>
        <w:rPr>
          <w:rFonts w:hint="eastAsia"/>
        </w:rPr>
      </w:pPr>
      <w:r>
        <w:rPr>
          <w:rFonts w:hint="eastAsia"/>
        </w:rPr>
        <w:t>2、中标单位需将货物配送至采购单位库房，服从库管安排。所有搬运工作均由中标单位负责完成。所有进入采购单位的车辆及人员需报备。</w:t>
      </w:r>
    </w:p>
    <w:p w14:paraId="60C7BAB2">
      <w:pPr>
        <w:rPr>
          <w:rFonts w:hint="eastAsia"/>
        </w:rPr>
      </w:pPr>
      <w:r>
        <w:rPr>
          <w:rFonts w:hint="eastAsia"/>
        </w:rPr>
        <w:t>3、a)采购单位提出采购的货物，必须由中标单位指定负责人来采购单位进行对接。中标单位需出具书面文件（负责人身份证需盖公司公章）明确1名负责人，由负责人与采购单位对接。中标单位不得擅自更换负责人，如有更换提前一个月报备经采购单位同意后才能更换，且不得无故频繁更换。</w:t>
      </w:r>
    </w:p>
    <w:p w14:paraId="2910FE11">
      <w:pPr>
        <w:rPr>
          <w:rFonts w:hint="eastAsia"/>
        </w:rPr>
      </w:pPr>
      <w:r>
        <w:rPr>
          <w:rFonts w:hint="eastAsia"/>
        </w:rPr>
        <w:t>b)为应对紧急事件，需中标单位明确1名应急联络人（与负责人不能为同一人），中标单位需出具书面文件（应急联系人身份证需盖公司公章），应急联络人与负责人需24小时保持手机畅通。</w:t>
      </w:r>
    </w:p>
    <w:p w14:paraId="3714C26B">
      <w:pPr>
        <w:rPr>
          <w:rFonts w:hint="eastAsia"/>
        </w:rPr>
      </w:pPr>
      <w:r>
        <w:rPr>
          <w:rFonts w:hint="eastAsia"/>
        </w:rPr>
        <w:t>c)在合同执行过程中需要供应商应执行的伴随服务的服务标准或应当履行的相关义务。</w:t>
      </w:r>
    </w:p>
    <w:p w14:paraId="6902DD2A">
      <w:pPr>
        <w:rPr>
          <w:rFonts w:hint="eastAsia"/>
        </w:rPr>
      </w:pPr>
      <w:r>
        <w:rPr>
          <w:rFonts w:hint="eastAsia"/>
        </w:rPr>
        <w:t>4、如投标单位对招标货物有疑问无法确定，请提前联系采购单位解决，可参考采购单位现用实物。</w:t>
      </w:r>
    </w:p>
    <w:p w14:paraId="54414393">
      <w:pPr>
        <w:rPr>
          <w:rFonts w:hint="eastAsia"/>
        </w:rPr>
      </w:pPr>
      <w:r>
        <w:rPr>
          <w:rFonts w:hint="eastAsia"/>
        </w:rPr>
        <w:t>九、违约责任</w:t>
      </w:r>
    </w:p>
    <w:p w14:paraId="4E3753F4">
      <w:pPr>
        <w:rPr>
          <w:rFonts w:hint="eastAsia"/>
        </w:rPr>
      </w:pPr>
      <w:r>
        <w:rPr>
          <w:rFonts w:hint="eastAsia"/>
        </w:rPr>
        <w:t>1、按《中华人民共和国政府采购法》、《中华人民共和国民法典》中的相关条款执行。</w:t>
      </w:r>
    </w:p>
    <w:p w14:paraId="73A0BE4D">
      <w:pPr>
        <w:rPr>
          <w:rFonts w:hint="eastAsia"/>
        </w:rPr>
      </w:pPr>
      <w:r>
        <w:rPr>
          <w:rFonts w:hint="eastAsia"/>
        </w:rPr>
        <w:t>2、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w:t>
      </w:r>
    </w:p>
    <w:p w14:paraId="68F0485B">
      <w:pPr>
        <w:rPr>
          <w:rFonts w:hint="eastAsia"/>
        </w:rPr>
      </w:pPr>
      <w:r>
        <w:rPr>
          <w:rFonts w:hint="eastAsia"/>
        </w:rPr>
        <w:t>3、乙方需按照招标文件配合采购单位管理。不配合甲方工作、货物验收有质量问题或质检报告不合格，甲方有权终止合同。合同自书面解除通知到达乙方之日视为合同已解除，乙方赔偿甲方项目预算总额的30％作为违约金。</w:t>
      </w:r>
    </w:p>
    <w:p w14:paraId="7A187603">
      <w:pPr>
        <w:rPr>
          <w:rFonts w:hint="eastAsia"/>
        </w:rPr>
      </w:pPr>
      <w:r>
        <w:rPr>
          <w:rFonts w:hint="eastAsia"/>
        </w:rPr>
        <w:t>4、乙方如有调换产品，减低产品等级标准或提供存在质量缺陷产品，以劣充优，以假充真等违约行的，一查实，将取消其中标人资格。</w:t>
      </w:r>
    </w:p>
    <w:p w14:paraId="6539BFD8">
      <w:pPr>
        <w:rPr>
          <w:rFonts w:hint="eastAsia"/>
        </w:rPr>
      </w:pPr>
      <w:r>
        <w:rPr>
          <w:rFonts w:hint="eastAsia"/>
        </w:rPr>
        <w:t>5、乙方履约延误，如乙方事先未挣得甲方书面同意或谅解而单方面延迟交货，交货期每延迟一天，扣除乙方项目预算总价款的1%作为违约金，延迟交货10日以上，甲方有权解除合同，合同自书面解除通知到达乙方之日视为合同已解除，乙方赔偿甲方项目预算总额的30％作为违约金。在甲方对乙方违约而采取的任何补救措施后仍未达到满意的结果下，甲方可向乙方发出书面违约通知书，提出终止部分或全部合同。</w:t>
      </w:r>
    </w:p>
    <w:p w14:paraId="2E873B22">
      <w:pPr>
        <w:rPr>
          <w:rFonts w:hint="eastAsia"/>
        </w:rPr>
      </w:pPr>
      <w:r>
        <w:rPr>
          <w:rFonts w:hint="eastAsia"/>
        </w:rPr>
        <w:t>十、合同争议解决的方式</w:t>
      </w:r>
    </w:p>
    <w:p w14:paraId="04370392">
      <w:pPr>
        <w:rPr>
          <w:rFonts w:hint="eastAsia"/>
        </w:rPr>
      </w:pPr>
      <w:r>
        <w:rPr>
          <w:rFonts w:hint="eastAsia"/>
        </w:rPr>
        <w:t>本合同在履行过程中发生的争议，由甲、乙双方当事人协商解决，协商不成的依法向甲方所在地人民法院起诉。</w:t>
      </w:r>
    </w:p>
    <w:p w14:paraId="6308438E">
      <w:pPr>
        <w:rPr>
          <w:rFonts w:hint="eastAsia"/>
        </w:rPr>
      </w:pPr>
      <w:r>
        <w:rPr>
          <w:rFonts w:hint="eastAsia"/>
        </w:rPr>
        <w:t>十一、合同生效</w:t>
      </w:r>
    </w:p>
    <w:p w14:paraId="79A6A24C">
      <w:pPr>
        <w:rPr>
          <w:rFonts w:hint="eastAsia"/>
        </w:rPr>
      </w:pPr>
      <w:r>
        <w:rPr>
          <w:rFonts w:hint="eastAsia"/>
        </w:rPr>
        <w:t>本合同一式陆份，甲方肆份，乙方、鉴证方各执壹份，本合同经甲方、乙方、鉴证方三方签字盖章后生效。</w:t>
      </w:r>
    </w:p>
    <w:p w14:paraId="349E4204">
      <w:pPr>
        <w:rPr>
          <w:rFonts w:hint="eastAsia"/>
        </w:rPr>
      </w:pPr>
      <w:r>
        <w:rPr>
          <w:rFonts w:hint="eastAsia"/>
        </w:rPr>
        <w:t>十二、其他</w:t>
      </w:r>
    </w:p>
    <w:p w14:paraId="30270C3E">
      <w:pPr>
        <w:rPr>
          <w:rFonts w:hint="eastAsia"/>
        </w:rPr>
      </w:pPr>
      <w:r>
        <w:rPr>
          <w:rFonts w:hint="eastAsia"/>
        </w:rPr>
        <w:t>1、西安市财政局政府采购管理处在合同的履行期间以及履行期后，可以随时检查项目的执行情况，对采购内容、标准进行调查核实，并对发现的问题进行处理。</w:t>
      </w:r>
    </w:p>
    <w:p w14:paraId="4572A2AC">
      <w:pPr>
        <w:rPr>
          <w:rFonts w:hint="eastAsia"/>
        </w:rPr>
      </w:pPr>
      <w:r>
        <w:rPr>
          <w:rFonts w:hint="eastAsia"/>
        </w:rPr>
        <w:t>2、招标文件、投标文件、澄清表（函）、中标通知书、合同附件均成为合同不可分割的部分。</w:t>
      </w:r>
    </w:p>
    <w:p w14:paraId="58CAA6B2">
      <w:pPr>
        <w:rPr>
          <w:rFonts w:hint="eastAsia"/>
        </w:rPr>
      </w:pPr>
      <w:r>
        <w:rPr>
          <w:rFonts w:hint="eastAsia"/>
        </w:rPr>
        <w:t>3、合同未尽事宜，由甲、乙双方协商，经鉴证方确认后，签订补充协议，与原合同具有同等法律效力。</w:t>
      </w:r>
    </w:p>
    <w:p w14:paraId="1B72E169">
      <w:pPr>
        <w:rPr>
          <w:rFonts w:hint="eastAsia"/>
        </w:rPr>
      </w:pPr>
      <w:r>
        <w:rPr>
          <w:rFonts w:hint="eastAsia"/>
        </w:rPr>
        <w:t>4、合同一经签订，不得擅自变更、中止或终止合同。对确需变更、调整或中止、终止合同的，有法律规定的按照法律规定，除合同约定外，由甲乙双方再行协商，协商一致前，原合同或条款继续履行。</w:t>
      </w:r>
    </w:p>
    <w:p w14:paraId="195EDC76">
      <w:pPr>
        <w:rPr>
          <w:rFonts w:hint="eastAsia"/>
        </w:rPr>
      </w:pPr>
      <w:r>
        <w:rPr>
          <w:rFonts w:hint="eastAsia"/>
        </w:rPr>
        <w:t>5、本合同按照中华人民共和国的现行法律进行解释。</w:t>
      </w:r>
    </w:p>
    <w:p w14:paraId="26518E58">
      <w:pPr>
        <w:rPr>
          <w:rFonts w:hint="eastAsia"/>
        </w:rPr>
      </w:pPr>
      <w:r>
        <w:rPr>
          <w:rFonts w:hint="eastAsia"/>
        </w:rPr>
        <w:t>6、本合同附件作为本合同的组成部分，与本合同具有同等法律效力。</w:t>
      </w:r>
    </w:p>
    <w:p w14:paraId="38337552">
      <w:pPr>
        <w:rPr>
          <w:rFonts w:hint="eastAsia"/>
        </w:rPr>
      </w:pPr>
      <w:r>
        <w:rPr>
          <w:rFonts w:hint="eastAsia"/>
        </w:rPr>
        <w:t>（以下无正文）</w:t>
      </w:r>
    </w:p>
    <w:p w14:paraId="277AEEAE">
      <w:pPr>
        <w:rPr>
          <w:rFonts w:hint="eastAsia"/>
        </w:rPr>
      </w:pPr>
      <w:r>
        <w:rPr>
          <w:rFonts w:hint="eastAsia"/>
        </w:rPr>
        <w:t xml:space="preserve"> </w:t>
      </w:r>
    </w:p>
    <w:p w14:paraId="55802A15">
      <w:pPr>
        <w:rPr>
          <w:rFonts w:hint="eastAsia"/>
        </w:rPr>
      </w:pPr>
      <w:r>
        <w:rPr>
          <w:rFonts w:hint="eastAsia"/>
        </w:rPr>
        <w:t xml:space="preserve"> </w:t>
      </w:r>
    </w:p>
    <w:p w14:paraId="03D051E2">
      <w:pPr>
        <w:rPr>
          <w:rFonts w:hint="eastAsia"/>
        </w:rPr>
      </w:pPr>
      <w:r>
        <w:rPr>
          <w:rFonts w:hint="eastAsia"/>
        </w:rPr>
        <w:t xml:space="preserve"> </w:t>
      </w:r>
    </w:p>
    <w:p w14:paraId="3CB0C476">
      <w:pPr>
        <w:rPr>
          <w:rFonts w:hint="eastAsia"/>
        </w:rPr>
      </w:pPr>
      <w:r>
        <w:rPr>
          <w:rFonts w:hint="eastAsia"/>
        </w:rPr>
        <w:t>甲​方（盖章）​                          乙​方（盖章）</w:t>
      </w:r>
    </w:p>
    <w:p w14:paraId="3826AB4B">
      <w:pPr>
        <w:rPr>
          <w:rFonts w:hint="eastAsia"/>
        </w:rPr>
      </w:pPr>
      <w:r>
        <w:rPr>
          <w:rFonts w:hint="eastAsia"/>
        </w:rPr>
        <w:t>单位名称：西安市红会医院​               单位名称:xxxx</w:t>
      </w:r>
    </w:p>
    <w:p w14:paraId="6884FC99">
      <w:pPr>
        <w:rPr>
          <w:rFonts w:hint="eastAsia"/>
        </w:rPr>
      </w:pPr>
      <w:r>
        <w:rPr>
          <w:rFonts w:hint="eastAsia"/>
        </w:rPr>
        <w:t>地​址：​                             地 ​址：xxxx</w:t>
      </w:r>
    </w:p>
    <w:p w14:paraId="5D15A28D">
      <w:pPr>
        <w:rPr>
          <w:rFonts w:hint="eastAsia"/>
        </w:rPr>
      </w:pPr>
      <w:r>
        <w:rPr>
          <w:rFonts w:hint="eastAsia"/>
        </w:rPr>
        <w:t>法定代表人：（签字）​                   法定代表人：（签字）</w:t>
      </w:r>
    </w:p>
    <w:p w14:paraId="41683277">
      <w:pPr>
        <w:rPr>
          <w:rFonts w:hint="eastAsia"/>
        </w:rPr>
      </w:pPr>
      <w:r>
        <w:rPr>
          <w:rFonts w:hint="eastAsia"/>
        </w:rPr>
        <w:t>代理人：（签字）​                      代理人：（签字）</w:t>
      </w:r>
    </w:p>
    <w:p w14:paraId="43D92182">
      <w:pPr>
        <w:rPr>
          <w:rFonts w:hint="eastAsia"/>
        </w:rPr>
      </w:pPr>
      <w:r>
        <w:rPr>
          <w:rFonts w:hint="eastAsia"/>
        </w:rPr>
        <w:t>开户银行:xxxx</w:t>
      </w:r>
    </w:p>
    <w:p w14:paraId="7D37317E">
      <w:pPr>
        <w:rPr>
          <w:rFonts w:hint="eastAsia"/>
        </w:rPr>
      </w:pPr>
      <w:r>
        <w:rPr>
          <w:rFonts w:hint="eastAsia"/>
        </w:rPr>
        <w:t>帐​号：xxxx</w:t>
      </w:r>
    </w:p>
    <w:p w14:paraId="09D1D548">
      <w:r>
        <w:rPr>
          <w:rFonts w:hint="eastAsia"/>
        </w:rPr>
        <w:t xml:space="preserve">签订日期：       年​月​日​            签订日期：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141067"/>
    <w:multiLevelType w:val="singleLevel"/>
    <w:tmpl w:val="E514106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5FC125D"/>
    <w:rsid w:val="05FC125D"/>
    <w:rsid w:val="0FC57ED7"/>
    <w:rsid w:val="57864800"/>
    <w:rsid w:val="63AB3198"/>
    <w:rsid w:val="6D526D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pPr>
    <w:rPr>
      <w:rFonts w:ascii="Times New Roman" w:hAnsi="Times New Roman" w:eastAsia="宋体" w:cs="宋体"/>
      <w:spacing w:val="0"/>
      <w:sz w:val="24"/>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240" w:lineRule="auto"/>
      <w:jc w:val="left"/>
      <w:outlineLvl w:val="0"/>
    </w:pPr>
    <w:rPr>
      <w:rFonts w:asciiTheme="minorAscii" w:hAnsiTheme="minorAscii"/>
      <w:b/>
      <w:kern w:val="44"/>
      <w:sz w:val="28"/>
    </w:rPr>
  </w:style>
  <w:style w:type="character" w:default="1" w:styleId="5">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2025-06-13T07:14:00Z</dcterms:created>
  <dc:creator>吴泽玮</dc:creator>
  <cp:lastModifiedBy>吴泽玮</cp:lastModifiedBy>
  <dcterms:modified xsi:type="dcterms:W3CDTF">2025-06-13T08:13:33Z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49B43B4DA96F4466A67742D38D050DD6_11</vt:lpwstr>
  </property>
  <property fmtid="{D5CDD505-2E9C-101B-9397-08002B2CF9AE}" pid="4" name="KSOTemplateDocerSaveRecord">
    <vt:lpwstr>eyJoZGlkIjoiMjE0ZDdkMDJkM2NhZTQ3NjU0MTNiMjA5Y2QxZGZiZGMiLCJ1c2VySWQiOiIxMTQ1NzQ0OTUyIn0=</vt:lpwstr>
  </property>
</Properties>
</file>