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版本号：城发【招】字2025-10420250603001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关于桥梁护栏及波形护梁维修工程的采购项目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城发【招】字2025-104</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中招城发项目管理咨询有限公司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中招城发项目管理咨询有限公司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关于桥梁护栏及波形护梁维修工程的采购项目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城发【招】字2025-104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关于桥梁护栏及波形护梁维修工程的采购项目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关于桥梁护栏及波形护梁维修工程的采购项目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采购包1（关于桥梁护栏及波形护梁维修工程的采购项目）：属于专门面向中小企业采购。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2、财务状况：提供2024年度赋码的财务审计报告（成立时间至提交投标文件截止时间不足一年的可提供成立后任意时段的资产负债表），或开标前半年内其基本存款账户开户银行出具的资信证明；</w:t>
      </w:r>
    </w:p>
    <w:p>
      <w:pPr>
        <w:pStyle w:val="null3"/>
      </w:pPr>
      <w:r>
        <w:rPr>
          <w:rFonts w:ascii="仿宋_GB2312" w:hAnsi="仿宋_GB2312" w:cs="仿宋_GB2312" w:eastAsia="仿宋_GB2312"/>
        </w:rPr>
        <w:t>3、完税证明：提供2024年6月至今已缴纳的至少一个月的纳税证明或完税证明，依法免税的单位应提供相关证明材料；</w:t>
      </w:r>
    </w:p>
    <w:p>
      <w:pPr>
        <w:pStyle w:val="null3"/>
      </w:pPr>
      <w:r>
        <w:rPr>
          <w:rFonts w:ascii="仿宋_GB2312" w:hAnsi="仿宋_GB2312" w:cs="仿宋_GB2312" w:eastAsia="仿宋_GB2312"/>
        </w:rPr>
        <w:t>4、社保缴纳情况：提供2024年6月至今已缴存的至少一个月的社会保障资金缴存单据或社保机构开具的社会保险参保缴费情况证明，依法不需要缴纳社会保障资金的单位应提供相关证明材料；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5、书面声明：参加本次政府采购活动前三年内，在经营活动中没有重大违法记录声明；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7、法定代表人授权书或法定代表人证明书：法定代表人授权书及被授权人身份证复印件加盖公章（法定代表人直接参加投标须出具法定代表人证明书及法定代表人身份证复印件加盖公章）；</w:t>
      </w:r>
    </w:p>
    <w:p>
      <w:pPr>
        <w:pStyle w:val="null3"/>
      </w:pPr>
      <w:r>
        <w:rPr>
          <w:rFonts w:ascii="仿宋_GB2312" w:hAnsi="仿宋_GB2312" w:cs="仿宋_GB2312" w:eastAsia="仿宋_GB2312"/>
        </w:rPr>
        <w:t>8、声明函：单位负责人为同一人或者存在直接控股、管理关系的不同供应商（承包商），不得同时参加本项目的投标；</w:t>
      </w:r>
    </w:p>
    <w:p>
      <w:pPr>
        <w:pStyle w:val="null3"/>
      </w:pPr>
      <w:r>
        <w:rPr>
          <w:rFonts w:ascii="仿宋_GB2312" w:hAnsi="仿宋_GB2312" w:cs="仿宋_GB2312" w:eastAsia="仿宋_GB2312"/>
        </w:rPr>
        <w:t>9、承诺书：为本项目提供整体设计、规范编制或者项目管理、监理、检测等服务的供应商，不得再参加该采购项目的其他采购活动；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10、信用记录：投标供应商在磋商截止时间前不得为“信用中国”网站（www.creditchina.gov.cn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p>
      <w:pPr>
        <w:pStyle w:val="null3"/>
      </w:pPr>
      <w:r>
        <w:rPr>
          <w:rFonts w:ascii="仿宋_GB2312" w:hAnsi="仿宋_GB2312" w:cs="仿宋_GB2312" w:eastAsia="仿宋_GB2312"/>
        </w:rPr>
        <w:t>11、企业资质要求：具备市政公用工程施工总承包三级及以上资质，具备建设行政主管部门颁发的有效的企业安全生产许可证；</w:t>
      </w:r>
    </w:p>
    <w:p>
      <w:pPr>
        <w:pStyle w:val="null3"/>
      </w:pPr>
      <w:r>
        <w:rPr>
          <w:rFonts w:ascii="仿宋_GB2312" w:hAnsi="仿宋_GB2312" w:cs="仿宋_GB2312" w:eastAsia="仿宋_GB2312"/>
        </w:rPr>
        <w:t>12、拟派项目负责人资质要求：拟派项目经理具备市政公用工程二级及以上注册建造师证书，并在本单位注册，同时具备安全生产考核合格证书（B级）（提供无在建承诺）；</w:t>
      </w:r>
    </w:p>
    <w:p>
      <w:pPr>
        <w:pStyle w:val="null3"/>
      </w:pPr>
      <w:r>
        <w:rPr>
          <w:rFonts w:ascii="仿宋_GB2312" w:hAnsi="仿宋_GB2312" w:cs="仿宋_GB2312" w:eastAsia="仿宋_GB2312"/>
        </w:rPr>
        <w:t>13、中小企业声明函：本项目为专门面向中小企业；</w:t>
      </w:r>
    </w:p>
    <w:p>
      <w:pPr>
        <w:pStyle w:val="null3"/>
      </w:pPr>
      <w:r>
        <w:rPr>
          <w:rFonts w:ascii="仿宋_GB2312" w:hAnsi="仿宋_GB2312" w:cs="仿宋_GB2312" w:eastAsia="仿宋_GB2312"/>
        </w:rPr>
        <w:t>14、声明函：本项目不接受联合体投标。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029-87314906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中招城发项目管理咨询有限公司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西安市未央区凤城八路风景御园20号楼14层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029-86184155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采购包1：1,331,910.00元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说明：本项目履约保证金金额：合同金额的3% 提交方式：担保机构保函 提交时间：签订合同前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代理服务费收费标准：以成交金额为基数，按照国家计委颁布《招标代理服务收费管理暂行办法》（计价格[2002]1980号）文件规定执行按下浮10%收取,向采购代理机构一次付清代理服务费。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中招城发项目管理咨询有限公司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中招城发项目管理咨询有限公司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中招城发项目管理咨询有限公司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联系电话：029-86184155</w:t>
      </w:r>
    </w:p>
    <w:p>
      <w:pPr>
        <w:pStyle w:val="null3"/>
      </w:pPr>
      <w:r>
        <w:rPr>
          <w:rFonts w:ascii="仿宋_GB2312" w:hAnsi="仿宋_GB2312" w:cs="仿宋_GB2312" w:eastAsia="仿宋_GB2312"/>
        </w:rPr>
        <w:t>地址：西安市未央区凤城八路风景御园20号楼14层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1,331,910.00</w:t>
      </w:r>
    </w:p>
    <w:p>
      <w:pPr>
        <w:pStyle w:val="null3"/>
      </w:pPr>
      <w:r>
        <w:rPr>
          <w:rFonts w:ascii="仿宋_GB2312" w:hAnsi="仿宋_GB2312" w:cs="仿宋_GB2312" w:eastAsia="仿宋_GB2312"/>
        </w:rPr>
        <w:t>采购包最高限价（元）: 1,331,910.00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桥梁护栏及波形护梁维修工程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1,331,910.00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标的名称：桥梁护栏及波形护梁维修工程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、招标内容</w:t>
            </w:r>
          </w:p>
          <w:p>
            <w:pPr>
              <w:pStyle w:val="null3"/>
              <w:ind w:firstLine="480"/>
            </w:pPr>
            <w:r>
              <w:rPr>
                <w:rFonts w:ascii="仿宋_GB2312" w:hAnsi="仿宋_GB2312" w:cs="仿宋_GB2312" w:eastAsia="仿宋_GB2312"/>
                <w:sz w:val="24"/>
              </w:rPr>
              <w:t>1.桥梁石材及混凝土护栏维修工程</w:t>
            </w:r>
          </w:p>
          <w:p>
            <w:pPr>
              <w:pStyle w:val="null3"/>
              <w:ind w:firstLine="480"/>
            </w:pPr>
            <w:r>
              <w:rPr>
                <w:rFonts w:ascii="仿宋_GB2312" w:hAnsi="仿宋_GB2312" w:cs="仿宋_GB2312" w:eastAsia="仿宋_GB2312"/>
                <w:sz w:val="24"/>
              </w:rPr>
              <w:t>对石材护栏进行维修，按照原有石材护栏的结构形式和材质定制材料，由厂家或施工人员进行安装和维修。</w:t>
            </w:r>
            <w:r>
              <w:rPr>
                <w:rFonts w:ascii="仿宋_GB2312" w:hAnsi="仿宋_GB2312" w:cs="仿宋_GB2312" w:eastAsia="仿宋_GB2312"/>
                <w:sz w:val="24"/>
              </w:rPr>
              <w:t>对三环桥梁外的跨河渠混凝土栏杆进行维修，混凝土栏杆维修主要根据现场损坏的量测，在固定场所制作模板，从新预制混凝土栏杆，然后进行安装。</w:t>
            </w:r>
          </w:p>
          <w:p>
            <w:pPr>
              <w:pStyle w:val="null3"/>
              <w:ind w:firstLine="480"/>
            </w:pPr>
            <w:r>
              <w:rPr>
                <w:rFonts w:ascii="仿宋_GB2312" w:hAnsi="仿宋_GB2312" w:cs="仿宋_GB2312" w:eastAsia="仿宋_GB2312"/>
                <w:sz w:val="24"/>
              </w:rPr>
              <w:t>2.桥梁竖挡栏杆维修</w:t>
            </w:r>
          </w:p>
          <w:p>
            <w:pPr>
              <w:pStyle w:val="null3"/>
              <w:ind w:firstLine="480"/>
            </w:pPr>
            <w:r>
              <w:rPr>
                <w:rFonts w:ascii="仿宋_GB2312" w:hAnsi="仿宋_GB2312" w:cs="仿宋_GB2312" w:eastAsia="仿宋_GB2312"/>
                <w:sz w:val="24"/>
              </w:rPr>
              <w:t>对下穿通道隔车带护栏和铸铁护栏进行维修，竖挡栏杆维修经量测后，采用固定场所加工材料，进行安装。对桥梁上的铸铁栏杆进行维修，按照原有结构形式和材质维修，铸铁栏杆为现场制作加工，采用焊接技术工艺维修。</w:t>
            </w:r>
          </w:p>
          <w:p>
            <w:pPr>
              <w:pStyle w:val="null3"/>
              <w:ind w:firstLine="480"/>
            </w:pPr>
            <w:r>
              <w:rPr>
                <w:rFonts w:ascii="仿宋_GB2312" w:hAnsi="仿宋_GB2312" w:cs="仿宋_GB2312" w:eastAsia="仿宋_GB2312"/>
                <w:sz w:val="24"/>
              </w:rPr>
              <w:t>3.桥梁复合管栏杆维修</w:t>
            </w:r>
          </w:p>
          <w:p>
            <w:pPr>
              <w:pStyle w:val="null3"/>
              <w:ind w:firstLine="480"/>
            </w:pPr>
            <w:r>
              <w:rPr>
                <w:rFonts w:ascii="仿宋_GB2312" w:hAnsi="仿宋_GB2312" w:cs="仿宋_GB2312" w:eastAsia="仿宋_GB2312"/>
                <w:sz w:val="24"/>
              </w:rPr>
              <w:t>对桥梁上的不锈钢栏杆进行维修，大约</w:t>
            </w:r>
            <w:r>
              <w:rPr>
                <w:rFonts w:ascii="仿宋_GB2312" w:hAnsi="仿宋_GB2312" w:cs="仿宋_GB2312" w:eastAsia="仿宋_GB2312"/>
                <w:sz w:val="24"/>
              </w:rPr>
              <w:t>1400米，不锈钢栏杆维修采用现场制作加工，采用氩弧焊技术维修。</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三环波形护梁维修</w:t>
            </w:r>
          </w:p>
          <w:p>
            <w:pPr>
              <w:pStyle w:val="null3"/>
              <w:jc w:val="both"/>
            </w:pPr>
            <w:r>
              <w:rPr>
                <w:rFonts w:ascii="仿宋_GB2312" w:hAnsi="仿宋_GB2312" w:cs="仿宋_GB2312" w:eastAsia="仿宋_GB2312"/>
                <w:sz w:val="24"/>
              </w:rPr>
              <w:t>为确保三环附属防护设施完好，对三环波形护梁大约</w:t>
            </w:r>
            <w:r>
              <w:rPr>
                <w:rFonts w:ascii="仿宋_GB2312" w:hAnsi="仿宋_GB2312" w:cs="仿宋_GB2312" w:eastAsia="仿宋_GB2312"/>
                <w:sz w:val="24"/>
              </w:rPr>
              <w:t>2110米，防护设施损坏后及时维修。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本项目工程质量等级为符合国家相关验收标准及其配套的规范的要求，并达到合格标准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商务要求 一、工期、项目地点、工程质量： 1、工期：1年 2、项目地点：采购人指定地点 3、工程质量：合格 4、质保期：1年 5、本项目履约保证金金额：合同金额的3% 提交方式：担保机构保函 提交时间：签订合同前 二、运输、安装： 成交单位负责本项目施工中货物的运输安装。 三、付款方式： 1、付款方式：合同签订后，甲方向乙方支付合同总价的百分之肆拾（40%）工程款；剩余百分之陆拾（60%）工程款在工程完工验收合格后支付。 2、结算方式：银行转账。 3、结算单位：乙方开具合同总价数的全额发票交采购人。 四、合同实施 1 、成交单位应在合同签订后7个日历日内安排人员（项目组成人员简历表所列）与使用单位就工作进行安排、部署。 2 、若未能在完成期限内完成合同规定的义务，由此对采购人造成的延误和一切损失，由成交单位承担和赔偿。 五、项目验收： 1、项目验收分分部验收和单位验收: 工程验收;工程施工完毕后，由采购人根据合同对工程进行分部、单位验收。 2、验收不合格的成交单位，必须在接到通知后7个日历日内确保工程通过验收。如接到通知后7个日历日内验收仍不合格，采购人可提出索赔或取消其合同。采购代理机构将把成交资格授予评审排序下一名的供应商。 3、验收依据 （1）合同文本及合同补充文件（条款）。 （2）磋商文件。 （3）成交单位的磋商响应文件。 （4）国家相关法律法规。 六、质量保证： 本工程质量等级为符合国家相关验收标准及其配套的规范要求，并达到合格标准。 七、违约责任 1.按《中华人民共和国民法典》中的相关条款执行。 2.未按合同要求工程质量不能满足技术要求，采购方有权终止合同，并对供方违约行为进行追究，同时按《中华人民共和国政府采购法》的有关规定进行处罚。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磋商函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财务状况：提供2024年度赋码的财务审计报告（成立时间至提交投标文件截止时间不足一年的可提供成立后任意时段的资产负债表），或开标前半年内其基本存款账户开户银行出具的资信证明；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提供2024年度赋码的财务审计报告（成立时间至提交投标文件截止时间不足一年的可提供成立后任意时段的资产负债表），或开标前半年内其基本存款账户开户银行出具的资信证明；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法定代表人授权书及被授权人身份证复印件加盖公章（法定代表人直接参加投标须出具法定代表人证明书及法定代表人身份证复印件加盖公章）；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具备市政公用工程施工总承包三级及以上资质，具备建设行政主管部门颁发的有效的企业安全生产许可证；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拟派项目经理具备市政公用工程二级及以上注册建造师证书，并在本单位注册，同时具备安全生产考核合格证书（B级）（提供无在建承诺）；</w:t>
            </w:r>
          </w:p>
        </w:tc>
        <w:tc>
          <w:tcPr>
            <w:tcW w:type="dxa" w:w="1661"/>
          </w:tcPr>
          <w:p>
            <w:pPr>
              <w:pStyle w:val="null3"/>
            </w:pPr>
            <w:r>
              <w:rPr>
                <w:rFonts w:ascii="仿宋_GB2312" w:hAnsi="仿宋_GB2312" w:cs="仿宋_GB2312" w:eastAsia="仿宋_GB2312"/>
              </w:rPr>
              <w:t>项目实施的主要组成人员简历表.docx 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磋商函 报价函 标的清单 磋商分项报价表.docx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响应文件上法定代表人或其委托代理人的签字或印章齐全并加盖单位公章</w:t>
            </w:r>
          </w:p>
        </w:tc>
        <w:tc>
          <w:tcPr>
            <w:tcW w:type="dxa" w:w="1661"/>
          </w:tcPr>
          <w:p>
            <w:pPr>
              <w:pStyle w:val="null3"/>
            </w:pPr>
            <w:r>
              <w:rPr>
                <w:rFonts w:ascii="仿宋_GB2312" w:hAnsi="仿宋_GB2312" w:cs="仿宋_GB2312" w:eastAsia="仿宋_GB2312"/>
              </w:rPr>
              <w:t>2022年4月至今同类项目业绩.docx 服务内容响应偏离表.docx 服务承诺.docx 资源配备计划.docx 商务条款响应偏离表.docx 资格证明文件.docx 法定代表人资格证明书及法定代表人授权委托书.docx 工程进度计划与保证措施.docx 双重预防机制.docx 响应文件封面 质量管理体系与措施.docx 磋商函 环境保护管理体系与措施.docx 磋商声明书.docx 施工方案.docx 拒绝政府采购领域商业贿赂承诺书.docx 项目实施的主要组成人员简历表.docx 磋商分项报价表.docx 安全管理体系与措施.docx 磋商报价一览表.docx 供应商认为有必要补充说明的事宜.docx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报价不得超过采购预算和最高限价</w:t>
            </w:r>
          </w:p>
        </w:tc>
        <w:tc>
          <w:tcPr>
            <w:tcW w:type="dxa" w:w="1661"/>
          </w:tcPr>
          <w:p>
            <w:pPr>
              <w:pStyle w:val="null3"/>
            </w:pPr>
            <w:r>
              <w:rPr>
                <w:rFonts w:ascii="仿宋_GB2312" w:hAnsi="仿宋_GB2312" w:cs="仿宋_GB2312" w:eastAsia="仿宋_GB2312"/>
              </w:rPr>
              <w:t>磋商函 磋商分项报价表.docx 标的清单 磋商报价一览表.docx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供应商针对本项目制定的施工方案与技术措施包含：①对项目总体概况表述②施工部署及措施③对项目主要及关键方案的表述④施工布置。 二、评审标准： 1.完整性：方案全面，对评审内容中的各项要求有详细阐述； 2.可实施性：切合本项目实际情况，提出步骤清晰、合理的方案； 3.针对性：方案能够紧扣项目实际情况，内容科学合理。 三、赋分标准（满分12分） ①对项目总体概况表述：每完全满足一项评审标准得1分，满分3分； ②施工部署及措施：每完全满足一项评审标准得1分，满分3分； ③对项目主要及关键方案的表述：每完全满足一项评审标准得1分，满分3分； ④施工布置：每完全满足一项评审标准得1分，满分3分；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一、评审内容： 供应商针对本项目制定的质量管理体系与措施包含：①质量管理目标②管理机构职责分工③质量管理制度④质量保证措施。 二、评审标准： 1.完整性：方案全面，对评审内容中的各项要求有详细阐述； 2.可实施性：切合本项目实际情况，提出步骤清晰、合理的方案； 3.针对性：方案能够紧扣项目实际情况，内容科学合理。 三、赋分标准（满分8分） ①质量管理目标：每完全满足一项评审标准得1分，满分2分； ②管理机构职责分工：每完全满足一项评审标准得1分，满分2分； ③质量管理制度：每完全满足一项评审标准得1分，满分2分； ④质量保证措施：每完全满足一项评审标准得1分，满分2分；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质量管理体系与措施.docx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 供应商针对本项目制定的工程进度计划与保证措施包含：①总工期及节点工期安排②施工进度计划安排③进度保证措施。 二、评审标准： 1.完整性：方案全面，对评审内容中的各项要求有详细阐述； 2.可实施性：切合本项目实际情况，提出步骤清晰、合理的方案； 3.针对性：方案能够紧扣项目实际情况，内容科学合理。 三、赋分标准（满分6分） ①总工期及节点工期安排：每完全满足一项评审标准得1分，满分2分； ②施工进度计划安排：每完全满足一项评审标准得1分，满分2分； ③进度保证措施：每完全满足一项评审标准得1分，满分2分；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工程进度计划与保证措施.docx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一、评审内容： 供应商针对本项目制定的安全管理体系与措施包含：①安全管理目标②安全管理机构职责分工③安全管理制度④安全保证措施。 二、评审标准： 1.完整性：方案全面，对评审内容中的各项要求有详细阐述； 2.可实施性：切合本项目实际情况，提出步骤清晰、合理的方案； 3.针对性：方案能够紧扣项目实际情况，内容科学合理。 三、赋分标准（满分8分） ①安全管理目标：每完全满足一项评审标准得1分，满分2分； ②安全管理机构职责分工：每完全满足一项评审标准得1分，满分2分； ③安全管理制度：每完全满足一项评审标准得1分，满分2分； ④安全保证措施：每完全满足一项评审标准得1分，满分2分；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安全管理体系与措施.docx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 供应商针对本项目制定资源配备计划包含：①劳动力计划②主要材料供应计划③施工机械设备配备计划④资源调配计划。 二、评审标准： 1.完整性：方案全面，对评审内容中的各项要求有详细阐述； 2.可实施性：切合本项目实际情况，提出步骤清晰、合理的方案； 3.针对性：方案能够紧扣项目实际情况，内容科学合理。 三、赋分标准（满分8分） ①劳动力计划：每完全满足一项评审标准得1分，满分2分； ②主要材料供应计划：每完全满足一项评审标准得1分，满分2分； ③施工机械设备配备计划：每完全满足一项评审标准得1分，满分2分； ④资源调配计划：每完全满足一项评审标准得1分，满分2分；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项目实施的主要组成人员简历表.docx</w:t>
            </w:r>
          </w:p>
          <w:p>
            <w:pPr>
              <w:pStyle w:val="null3"/>
            </w:pPr>
            <w:r>
              <w:rPr>
                <w:rFonts w:ascii="仿宋_GB2312" w:hAnsi="仿宋_GB2312" w:cs="仿宋_GB2312" w:eastAsia="仿宋_GB2312"/>
              </w:rPr>
              <w:t>资源配备计划.docx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 供应商针对本项目制定的环境保护管理体系与措施包含：①环境保护管理目标②环境保护管理机构职责分工③环境保护管理制度④环境保护保证措施。 二、评审标准： 1.完整性：方案全面，对评审内容中的各项要求有详细阐述； 2.可实施性：切合本项目实际情况，提出步骤清晰、合理的方案； 3.针对性：方案能够紧扣项目实际情况，内容科学合理。 三、赋分标准（满分8分） ①环境保护管理目标：每完全满足一项评审标准得1分，满分2分； ②环境保护管理机构职责分工：每完全满足一项评审标准得1分，满分2分； ③环境保护管理制度：每完全满足一项评审标准得1分，满分2分； ④环境保护保证措施：每完全满足一项评审标准得1分，满分2分；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环境保护管理体系与措施.docx</w:t>
            </w:r>
          </w:p>
        </w:tc>
      </w:tr>
      <w:tr>
        <w:tc>
          <w:tcPr>
            <w:tcW w:type="dxa" w:w="831"/>
            <w:vMerge/>
          </w:tcPr>
          <w:p/>
        </w:tc>
        <w:tc>
          <w:tcPr>
            <w:tcW w:type="dxa" w:w="1661"/>
          </w:tcPr>
          <w:p>
            <w:pPr>
              <w:pStyle w:val="null3"/>
            </w:pPr>
            <w:r>
              <w:rPr>
                <w:rFonts w:ascii="仿宋_GB2312" w:hAnsi="仿宋_GB2312" w:cs="仿宋_GB2312" w:eastAsia="仿宋_GB2312"/>
              </w:rPr>
              <w:t>双重预防机制</w:t>
            </w:r>
          </w:p>
        </w:tc>
        <w:tc>
          <w:tcPr>
            <w:tcW w:type="dxa" w:w="2492"/>
          </w:tcPr>
          <w:p>
            <w:pPr>
              <w:pStyle w:val="null3"/>
            </w:pPr>
            <w:r>
              <w:rPr>
                <w:rFonts w:ascii="仿宋_GB2312" w:hAnsi="仿宋_GB2312" w:cs="仿宋_GB2312" w:eastAsia="仿宋_GB2312"/>
              </w:rPr>
              <w:t>一、评审内容 供应商针对本项目建立双重预防机制包含：①风险分级管控②隐患排查治理 二、评审标准： 1.完整性：方案全面，对评审内容中的各项要求有详细阐述； 2.可实施性：切合本项目实际情况，提出步骤清晰、合理的方案； 3.针对性：方案能够紧扣项目实际情况，内容科学合理。 三、赋分标准（满分6分） ①风险分级管控：每完全满足一项评审标准得1分，满分3分； ②隐患排查治理：每完全满足一项评审标准得1分，满分3分；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双重预防机制.docx</w:t>
            </w:r>
          </w:p>
        </w:tc>
      </w:tr>
      <w:tr>
        <w:tc>
          <w:tcPr>
            <w:tcW w:type="dxa" w:w="831"/>
            <w:vMerge/>
          </w:tcPr>
          <w:p/>
        </w:tc>
        <w:tc>
          <w:tcPr>
            <w:tcW w:type="dxa" w:w="1661"/>
          </w:tcPr>
          <w:p>
            <w:pPr>
              <w:pStyle w:val="null3"/>
            </w:pPr>
            <w:r>
              <w:rPr>
                <w:rFonts w:ascii="仿宋_GB2312" w:hAnsi="仿宋_GB2312" w:cs="仿宋_GB2312" w:eastAsia="仿宋_GB2312"/>
              </w:rPr>
              <w:t>提供2022年4月至今同类项目业绩，以合同为准，复印件加盖单位公章</w:t>
            </w:r>
          </w:p>
        </w:tc>
        <w:tc>
          <w:tcPr>
            <w:tcW w:type="dxa" w:w="2492"/>
          </w:tcPr>
          <w:p>
            <w:pPr>
              <w:pStyle w:val="null3"/>
            </w:pPr>
            <w:r>
              <w:rPr>
                <w:rFonts w:ascii="仿宋_GB2312" w:hAnsi="仿宋_GB2312" w:cs="仿宋_GB2312" w:eastAsia="仿宋_GB2312"/>
              </w:rPr>
              <w:t>提供2022年4月至今同类项目业绩，以合同为准，复印件加盖单位公章，每份计2分，计满4分为止。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2022年4月至今同类项目业绩.docx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供应商对本项目提供的服务承诺包含：①施工过程中的相关承诺②投入材料质量承诺③质量保修期服务承诺④服务响应时间⑤服务响应措施。 二、评审标准： 1.完整性：方案全面，对评审内容有详细阐述； 2.可实施性：切合本项目实际情况，提出步骤清晰、合理的方案； 3.针对性：方案能够紧扣项目实际情况，内容科学合理。 三、赋分标准（满分10分） ①施工过程中的相关承诺：每完全满足一项评审标准得1分，满分2分； ②投入材料质量承诺：每完全满足一项评审标准得1分，满分2分； ③质量保修期服务承诺：每完全满足一项评审标准得1分，满分2分； ④服务响应时间：每完全满足一项评审标准得1分，满分2分； ⑤服务响应措施：每完全满足一项评审标准得1分，满分2分；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价格分采用低价优先法计算，即满足磋商文件要求且磋商价格最低的磋商报价为评审基准价，其价格分为满分。其他供应商的价格分统一按照下列公式计算：磋商报价得分=（评标基准价/磋商评审价）×30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磋商分项报价表.docx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详见附件：磋商函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详见附件：服务内容响应偏离表.docx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详见附件：法定代表人资格证明书及法定代表人授权委托书.docx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详见附件：2022年4月至今同类项目业绩.docx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详见附件：质量管理体系与措施.docx</w:t>
      </w:r>
    </w:p>
    <w:p>
      <w:pPr>
        <w:pStyle w:val="null3"/>
        <w:ind w:firstLine="960"/>
      </w:pPr>
      <w:r>
        <w:rPr>
          <w:rFonts w:ascii="仿宋_GB2312" w:hAnsi="仿宋_GB2312" w:cs="仿宋_GB2312" w:eastAsia="仿宋_GB2312"/>
        </w:rPr>
        <w:t>详见附件：工程进度计划与保证措施.docx</w:t>
      </w:r>
    </w:p>
    <w:p>
      <w:pPr>
        <w:pStyle w:val="null3"/>
        <w:ind w:firstLine="960"/>
      </w:pPr>
      <w:r>
        <w:rPr>
          <w:rFonts w:ascii="仿宋_GB2312" w:hAnsi="仿宋_GB2312" w:cs="仿宋_GB2312" w:eastAsia="仿宋_GB2312"/>
        </w:rPr>
        <w:t>详见附件：安全管理体系与措施.docx</w:t>
      </w:r>
    </w:p>
    <w:p>
      <w:pPr>
        <w:pStyle w:val="null3"/>
        <w:ind w:firstLine="960"/>
      </w:pPr>
      <w:r>
        <w:rPr>
          <w:rFonts w:ascii="仿宋_GB2312" w:hAnsi="仿宋_GB2312" w:cs="仿宋_GB2312" w:eastAsia="仿宋_GB2312"/>
        </w:rPr>
        <w:t>详见附件：资源配备计划.docx</w:t>
      </w:r>
    </w:p>
    <w:p>
      <w:pPr>
        <w:pStyle w:val="null3"/>
        <w:ind w:firstLine="960"/>
      </w:pPr>
      <w:r>
        <w:rPr>
          <w:rFonts w:ascii="仿宋_GB2312" w:hAnsi="仿宋_GB2312" w:cs="仿宋_GB2312" w:eastAsia="仿宋_GB2312"/>
        </w:rPr>
        <w:t>详见附件：环境保护管理体系与措施.docx</w:t>
      </w:r>
    </w:p>
    <w:p>
      <w:pPr>
        <w:pStyle w:val="null3"/>
        <w:ind w:firstLine="960"/>
      </w:pPr>
      <w:r>
        <w:rPr>
          <w:rFonts w:ascii="仿宋_GB2312" w:hAnsi="仿宋_GB2312" w:cs="仿宋_GB2312" w:eastAsia="仿宋_GB2312"/>
        </w:rPr>
        <w:t>详见附件：双重预防机制.docx</w:t>
      </w:r>
    </w:p>
    <w:p>
      <w:pPr>
        <w:pStyle w:val="null3"/>
        <w:ind w:firstLine="960"/>
      </w:pPr>
      <w:r>
        <w:rPr>
          <w:rFonts w:ascii="仿宋_GB2312" w:hAnsi="仿宋_GB2312" w:cs="仿宋_GB2312" w:eastAsia="仿宋_GB2312"/>
        </w:rPr>
        <w:t>详见附件：项目实施的主要组成人员简历表.docx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详见附件：磋商声明书.docx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