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8E66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.商务条款响应偏离表（格式）</w:t>
      </w:r>
    </w:p>
    <w:p w14:paraId="08498636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商务条款响应偏离表</w:t>
      </w:r>
    </w:p>
    <w:p w14:paraId="7784AB31">
      <w:pPr>
        <w:pageBreakBefore w:val="0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53C951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583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F60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043DB5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81B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5303E0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97B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03A708F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说明</w:t>
            </w:r>
          </w:p>
        </w:tc>
      </w:tr>
      <w:tr w14:paraId="08E241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5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CDB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903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372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9F985E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36B12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2EDD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993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DD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6BB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6DF95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DF30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CD2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216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D22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40B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F130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82D6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D55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D31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2108B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F03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A5475E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C23BE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E00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AB2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6A53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9150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D4015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B4F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E32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D8C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006F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D0F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9E50D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79606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A22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E25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E96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078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EE69F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E35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C3FF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58F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842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6626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B2A103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719A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008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C97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1C5E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77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620B9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5AF0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815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D0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773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3AEE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705E918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9C07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07C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F5F3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E6B0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33B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15935E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265C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4FD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446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070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59A17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FF981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8132D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0F5D6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AAEE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F64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1554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2C3AD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B339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CED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D9B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9D9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557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0DF79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EB494F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bookmarkStart w:id="0" w:name="_Toc49019497"/>
      <w:bookmarkStart w:id="1" w:name="_Toc47262069"/>
      <w:bookmarkStart w:id="2" w:name="_Toc47418255"/>
      <w:bookmarkStart w:id="3" w:name="_Toc451513347"/>
      <w:bookmarkStart w:id="4" w:name="_Toc47261885"/>
      <w:bookmarkStart w:id="5" w:name="_Toc194663925"/>
      <w:bookmarkStart w:id="6" w:name="_Toc193187104"/>
      <w:bookmarkStart w:id="7" w:name="_Toc193126888"/>
      <w:bookmarkStart w:id="8" w:name="_Toc48791235"/>
      <w:bookmarkStart w:id="9" w:name="_Toc47418731"/>
      <w:bookmarkStart w:id="10" w:name="_Toc48995851"/>
      <w:bookmarkStart w:id="11" w:name="_Toc188808839"/>
      <w:bookmarkStart w:id="12" w:name="_Toc47418938"/>
      <w:bookmarkStart w:id="13" w:name="_Toc505605890"/>
      <w:bookmarkStart w:id="14" w:name="_Toc49019236"/>
      <w:bookmarkStart w:id="15" w:name="_Toc47261690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注：商务响应偏离表须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根据磋商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务要求，进行逐条响应；如有漏报、瞒报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文件所要求的商务指标等将视为没有实质性响应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109BFD37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ADD9DF4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bookmarkStart w:id="16" w:name="_GoBack"/>
      <w:bookmarkEnd w:id="16"/>
    </w:p>
    <w:p w14:paraId="172E15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4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ECA57A6D6A294D7189DDCE1A8408BE83_12</vt:lpwstr>
  </property>
</Properties>
</file>