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0" w:leftChars="1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4EEAA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F22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26C467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71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EB51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81D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691E1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EDD3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566B592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1E06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9EA8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F438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91D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A1E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C83CD0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2F9B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B1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5A2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A09A0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703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80D81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F0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AF3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3A40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7253270F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6115EC96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日 期：</w:t>
      </w:r>
    </w:p>
    <w:p w14:paraId="27E91084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65CFB"/>
    <w:rsid w:val="58FD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BFB15ABEBDDB4BD992C8B70D8C0FA2F2_12</vt:lpwstr>
  </property>
</Properties>
</file>