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5AF0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815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D0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773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3AEE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705E918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9C07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07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5F3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6B0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33B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15935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265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4FD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446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070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9A1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FF981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8132D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F5D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AEE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64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1554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2C3AD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1DA708E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0" w:name="_Toc48791235"/>
      <w:bookmarkStart w:id="1" w:name="_Toc188808839"/>
      <w:bookmarkStart w:id="2" w:name="_Toc193187104"/>
      <w:bookmarkStart w:id="3" w:name="_Toc47418731"/>
      <w:bookmarkStart w:id="4" w:name="_Toc47262069"/>
      <w:bookmarkStart w:id="5" w:name="_Toc49019497"/>
      <w:bookmarkStart w:id="6" w:name="_Toc505605890"/>
      <w:bookmarkStart w:id="7" w:name="_Toc47261690"/>
      <w:bookmarkStart w:id="8" w:name="_Toc47261885"/>
      <w:bookmarkStart w:id="9" w:name="_Toc47418255"/>
      <w:bookmarkStart w:id="10" w:name="_Toc47418938"/>
      <w:bookmarkStart w:id="11" w:name="_Toc194663925"/>
      <w:bookmarkStart w:id="12" w:name="_Toc451513347"/>
      <w:bookmarkStart w:id="13" w:name="_Toc49019236"/>
      <w:bookmarkStart w:id="14" w:name="_Toc48995851"/>
      <w:bookmarkStart w:id="15" w:name="_Toc193126888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109BFD37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日 期：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</w:t>
      </w:r>
      <w:bookmarkStart w:id="16" w:name="_GoBack"/>
      <w:bookmarkEnd w:id="16"/>
    </w:p>
    <w:p w14:paraId="6803069F"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E4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E1EA5556109441A2A9C784510930DEA5_12</vt:lpwstr>
  </property>
</Properties>
</file>