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版本号：城发【招】字2025-10220250603001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关于桥梁隔音板安装及维修工程的采购项目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城发【招】字2025-102</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关于桥梁隔音板安装及维修工程的采购项目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城发【招】字2025-102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关于桥梁隔音板安装及维修工程的采购项目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关于桥梁隔音板安装及维修工程的采购项目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采购包1（关于桥梁隔音板安装及维修工程的采购项目）：属于专门面向中小企业采购。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2、财务状况：提供2024年度赋码的财务审计报告（成立时间至提交投标文件截止时间不足一年的可提供成立后任意时段的资产负债表），或开标前半年内其基本存款账户开户银行出具的资信证明；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3、完税证明：提供2024年6月至今已缴纳的至少一个月的纳税证明或完税证明，依法免税的单位应提供相关证明材料；</w:t>
      </w:r>
    </w:p>
    <w:p>
      <w:pPr>
        <w:pStyle w:val="null3"/>
      </w:pPr>
      <w:r>
        <w:rPr>
          <w:rFonts w:ascii="仿宋_GB2312" w:hAnsi="仿宋_GB2312" w:cs="仿宋_GB2312" w:eastAsia="仿宋_GB2312"/>
        </w:rPr>
        <w:t>4、社保缴纳情况：提供2024年6月至今已缴存的至少一个月的社会保障资金缴存单据或社保机构开具的社会保险参保缴费情况证明，依法不需要缴纳社会保障资金的单位应提供相关证明材料；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7、法定代表人授权书或法定代表人证明书：法定代表人授权书及被授权人身份证复印件加盖公章（法定代表人直接参加投标须出具法定代表人证明书及法定代表人身份证复印件加盖公章）；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8、声明函：单位负责人为同一人或者存在直接控股、管理关系的不同供应商（承包商），不得同时参加本项目的投标；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11、企业资质要求：具备市政公用工程施工总承包三级及以上资质，具备建设行政主管部门颁发的有效的企业安全生产许可证；</w:t>
      </w:r>
    </w:p>
    <w:p>
      <w:pPr>
        <w:pStyle w:val="null3"/>
      </w:pPr>
      <w:r>
        <w:rPr>
          <w:rFonts w:ascii="仿宋_GB2312" w:hAnsi="仿宋_GB2312" w:cs="仿宋_GB2312" w:eastAsia="仿宋_GB2312"/>
        </w:rPr>
        <w:t>12、拟派项目负责人资质要求：拟派项目经理具备市政公用工程二级及以上注册建造师证书，并在本单位注册，同时具备安全生产考核合格证书（B级）（提供无在建承诺）；</w:t>
      </w:r>
    </w:p>
    <w:p>
      <w:pPr>
        <w:pStyle w:val="null3"/>
      </w:pPr>
      <w:r>
        <w:rPr>
          <w:rFonts w:ascii="仿宋_GB2312" w:hAnsi="仿宋_GB2312" w:cs="仿宋_GB2312" w:eastAsia="仿宋_GB2312"/>
        </w:rPr>
        <w:t>13、中小企业声明函：本项目为专门面向中小企业；</w:t>
      </w:r>
    </w:p>
    <w:p>
      <w:pPr>
        <w:pStyle w:val="null3"/>
      </w:pPr>
      <w:r>
        <w:rPr>
          <w:rFonts w:ascii="仿宋_GB2312" w:hAnsi="仿宋_GB2312" w:cs="仿宋_GB2312" w:eastAsia="仿宋_GB2312"/>
        </w:rPr>
        <w:t>14、声明函：本项目不接受联合体投标。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说明：本项目履约保证金金额：合同金额的3% 提交方式：担保机构保函 提交时间：签订合同前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代理服务费收费标准：以成交金额为基数，按照国家计委颁布《招标代理服务收费管理暂行办法》（计价格[2002]1980号）文件规定执行按下浮10%收取,向采购代理机构一次付清代理服务费。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联系电话：029-86184155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502,000.00</w:t>
      </w:r>
    </w:p>
    <w:p>
      <w:pPr>
        <w:pStyle w:val="null3"/>
      </w:pPr>
      <w:r>
        <w:rPr>
          <w:rFonts w:ascii="仿宋_GB2312" w:hAnsi="仿宋_GB2312" w:cs="仿宋_GB2312" w:eastAsia="仿宋_GB2312"/>
        </w:rPr>
        <w:t>采购包最高限价（元）: 502,000.00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桥梁隔音板安装及维修工程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标的名称：桥梁隔音板安装及维修工程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、招标内容</w:t>
            </w:r>
          </w:p>
          <w:p>
            <w:pPr>
              <w:pStyle w:val="null3"/>
              <w:ind w:firstLine="480"/>
            </w:pPr>
            <w:r>
              <w:rPr>
                <w:rFonts w:ascii="仿宋_GB2312" w:hAnsi="仿宋_GB2312" w:cs="仿宋_GB2312" w:eastAsia="仿宋_GB2312"/>
                <w:sz w:val="24"/>
              </w:rPr>
              <w:t>1、依据隔音板安装维修的要求，本采购需求工程项目的材料、设备、施工须达到现行中华人民共和国以及省、自治区、直辖市或行业的工程建设标准、强制性条文、规范的要求。</w:t>
            </w:r>
          </w:p>
          <w:p>
            <w:pPr>
              <w:pStyle w:val="null3"/>
              <w:ind w:firstLine="480"/>
            </w:pPr>
            <w:r>
              <w:rPr>
                <w:rFonts w:ascii="仿宋_GB2312" w:hAnsi="仿宋_GB2312" w:cs="仿宋_GB2312" w:eastAsia="仿宋_GB2312"/>
                <w:sz w:val="24"/>
              </w:rPr>
              <w:t>2、新建隔音板整体尺寸为2M*2.5M(长*高）；采用上下金属板内部填充吸声岩棉体，每块宽度50cm，长度2米；中部透明隔音板采用10mm亚克力高分子材料，尺寸1米*2米。立柱采用Q235B，H型型钢125；立柱底座采用同材质U型底座（骑马式），固定采用4套M20六角螺栓锚栓。新建隔音板长度80米(新建隔音板后的相关试验)。</w:t>
            </w:r>
          </w:p>
          <w:p>
            <w:pPr>
              <w:pStyle w:val="null3"/>
              <w:ind w:firstLine="480"/>
            </w:pPr>
            <w:r>
              <w:rPr>
                <w:rFonts w:ascii="仿宋_GB2312" w:hAnsi="仿宋_GB2312" w:cs="仿宋_GB2312" w:eastAsia="仿宋_GB2312"/>
                <w:sz w:val="24"/>
              </w:rPr>
              <w:t>3、上下部分的金属隔音板采用冲孔镀锌钢板，表面喷塑；立柱型钢防腐采用镀锌喷塑双重防腐。防腐厚度不小于100µm.</w:t>
            </w:r>
          </w:p>
          <w:p>
            <w:pPr>
              <w:pStyle w:val="null3"/>
              <w:ind w:firstLine="480"/>
            </w:pPr>
            <w:r>
              <w:rPr>
                <w:rFonts w:ascii="仿宋_GB2312" w:hAnsi="仿宋_GB2312" w:cs="仿宋_GB2312" w:eastAsia="仿宋_GB2312"/>
                <w:sz w:val="24"/>
              </w:rPr>
              <w:t>4、现场交通封闭采用GB5768-2017《道路交通标志与标线》第四部分。</w:t>
            </w:r>
          </w:p>
          <w:p>
            <w:pPr>
              <w:pStyle w:val="null3"/>
              <w:ind w:firstLine="480"/>
            </w:pPr>
            <w:r>
              <w:rPr>
                <w:rFonts w:ascii="仿宋_GB2312" w:hAnsi="仿宋_GB2312" w:cs="仿宋_GB2312" w:eastAsia="仿宋_GB2312"/>
                <w:sz w:val="24"/>
              </w:rPr>
              <w:t>5、工期要求：新建80米隔音板，工期20天，按此计算。维修隔音板；4小时进场进行拆除，排出隐患，现场做安全警示。5天维修完成。</w:t>
            </w:r>
          </w:p>
          <w:p>
            <w:pPr>
              <w:pStyle w:val="null3"/>
              <w:ind w:firstLine="480"/>
            </w:pPr>
            <w:r>
              <w:rPr>
                <w:rFonts w:ascii="仿宋_GB2312" w:hAnsi="仿宋_GB2312" w:cs="仿宋_GB2312" w:eastAsia="仿宋_GB2312"/>
                <w:sz w:val="24"/>
              </w:rPr>
              <w:t>6、隔音板局部维修采用同等材质进行维修，计划维修隔音板144块。(如维修有剩余资金可用于隔音板新建)</w:t>
            </w:r>
          </w:p>
          <w:p>
            <w:pPr>
              <w:pStyle w:val="null3"/>
              <w:ind w:firstLine="480"/>
            </w:pPr>
            <w:r>
              <w:rPr>
                <w:rFonts w:ascii="仿宋_GB2312" w:hAnsi="仿宋_GB2312" w:cs="仿宋_GB2312" w:eastAsia="仿宋_GB2312"/>
                <w:sz w:val="24"/>
              </w:rPr>
              <w:t>7、隔音板维修新建后，应保证顺直，美观。</w:t>
            </w:r>
          </w:p>
          <w:p>
            <w:pPr>
              <w:pStyle w:val="null3"/>
              <w:ind w:firstLine="480"/>
            </w:pPr>
            <w:r>
              <w:rPr>
                <w:rFonts w:ascii="仿宋_GB2312" w:hAnsi="仿宋_GB2312" w:cs="仿宋_GB2312" w:eastAsia="仿宋_GB2312"/>
                <w:sz w:val="24"/>
              </w:rPr>
              <w:t>8、隔音板新建时，应尽量减少异形板。方便后期维修。</w:t>
            </w:r>
          </w:p>
          <w:p>
            <w:pPr>
              <w:pStyle w:val="null3"/>
              <w:ind w:firstLine="480"/>
            </w:pPr>
            <w:r>
              <w:rPr>
                <w:rFonts w:ascii="仿宋_GB2312" w:hAnsi="仿宋_GB2312" w:cs="仿宋_GB2312" w:eastAsia="仿宋_GB2312"/>
                <w:sz w:val="24"/>
              </w:rPr>
              <w:t>9、在吊装隔音板时，桥下应有监护车辆，防止意外事件发生。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一、工期、项目地点、工程质量： 1、工期：1年 2、项目地点：采购人指定地点 3、工程质量：合格 4、质保期：一年 5、本项目履约保证金金额：合同金额的3% 提交方式：担保机构保函 提交时间：签订合同前 二、运输、安装： 成交单位负责本项目施工中货物的运输安装。 三、付款方式： 1、付款方式：合同签订后，甲方向乙方支付合同总价的百分之肆拾（40%）工程款；剩余百分之陆拾（60%）工程款在工程完工验收合格后支付。 2、结算方式：银行转账。 3、结算单位：乙方开具合同总价数的全额发票交采购人。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 1、项目验收分分部验收和单位验收: 工程验收;工程施工完毕后，由采购人根据合同对工程进行分部、单位验收。 2、验收不合格的成交单位，必须在接到通知后7个日历日内确保工程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 六、质量保证： 本工程质量等级为符合国家相关验收标准及其配套的规范要求，并达到合格标准。 七、违约责任 1.按《中华人民共和国民法典》中的相关条款执行。 2.未按合同要求工程质量不能满足技术要求，采购方有权终止合同，并对供方违约行为进行追究，同时按《中华人民共和国政府采购法》的有关规定进行处罚。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具备市政公用工程施工总承包三级及以上资质，具备建设行政主管部门颁发的有效的企业安全生产许可证；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拟派项目经理具备市政公用工程二级及以上注册建造师证书，并在本单位注册，同时具备安全生产考核合格证书（B级）（提供无在建承诺）；</w:t>
            </w:r>
          </w:p>
        </w:tc>
        <w:tc>
          <w:tcPr>
            <w:tcW w:type="dxa" w:w="1661"/>
          </w:tcPr>
          <w:p>
            <w:pPr>
              <w:pStyle w:val="null3"/>
            </w:pPr>
            <w:r>
              <w:rPr>
                <w:rFonts w:ascii="仿宋_GB2312" w:hAnsi="仿宋_GB2312" w:cs="仿宋_GB2312" w:eastAsia="仿宋_GB2312"/>
              </w:rPr>
              <w:t>项目实施的主要组成人员简历表.docx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磋商分项报价表.docx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2022年4月至今同类项目业绩.docx 服务内容响应偏离表.docx 服务承诺.docx 资源配备计划.docx 商务条款响应偏离表.docx 资格证明文件.docx 法定代表人资格证明书及法定代表人授权委托书.docx 工程进度计划与保证措施.docx 双重预防机制.docx 响应文件封面 质量管理体系与措施.docx 《拒绝政府采购领域商业贿赂承诺书》.docx 磋商函 环境保护管理体系与措施.docx 磋商声明书.docx 施工方案.docx 报价函 项目实施的主要组成人员简历表.docx 标的清单 磋商分项报价表.docx 安全管理体系与措施.docx 磋商报价一览表.docx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报价不得超过采购预算和最高限价</w:t>
            </w:r>
          </w:p>
        </w:tc>
        <w:tc>
          <w:tcPr>
            <w:tcW w:type="dxa" w:w="1661"/>
          </w:tcPr>
          <w:p>
            <w:pPr>
              <w:pStyle w:val="null3"/>
            </w:pPr>
            <w:r>
              <w:rPr>
                <w:rFonts w:ascii="仿宋_GB2312" w:hAnsi="仿宋_GB2312" w:cs="仿宋_GB2312" w:eastAsia="仿宋_GB2312"/>
              </w:rPr>
              <w:t>响应文件封面 标的清单 磋商分项报价表.docx 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供应商针对本项目制定的施工方案与技术措施包含：①对项目总体概况表述②施工部署及措施③对项目主要及关键方案的表述④施工布置。 二、评审标准： 1.完整性：方案全面，对评审内容中的各项要求有详细阐述； 2.可实施性：切合本项目实际情况，提出步骤清晰、合理的方案； 3.针对性：方案能够紧扣项目实际情况，内容科学合理。 三、赋分标准（满分12分） ①对项目总体概况表述：每完全满足一项评审标准得1分，满分3分； ②施工部署及措施：每完全满足一项评审标准得1分，满分3分； ③对项目主要及关键方案的表述：每完全满足一项评审标准得1分，满分3分； ④施工布置：每完全满足一项评审标准得1分，满分3分；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供应商针对本项目制定的质量管理体系与措施包含：①质量管理目标②管理机构职责分工③质量管理制度④质量保证措施。 二、评审标准： 1.完整性：方案全面，对评审内容中的各项要求有详细阐述； 2.可实施性：切合本项目实际情况，提出步骤清晰、合理的方案； 3.针对性：方案能够紧扣项目实际情况，内容科学合理。 三、赋分标准（满分8分） ①质量管理目标：每完全满足一项评审标准得1分，满分2分； ②管理机构职责分工：每完全满足一项评审标准得1分，满分2分； ③质量管理制度：每完全满足一项评审标准得1分，满分2分； ④质量保证措施：每完全满足一项评审标准得1分，满分2分；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质量管理体系与措施.docx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三、赋分标准（满分6分） ①总工期及节点工期安排：每完全满足一项评审标准得1分，满分2分； ②施工进度计划安排：每完全满足一项评审标准得1分，满分2分； ③进度保证措施：每完全满足一项评审标准得1分，满分2分；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供应商针对本项目制定的安全管理体系与措施包含：①安全管理目标②安全管理机构职责分工③安全管理制度④安全保证措施。 二、评审标准： 1.完整性：方案全面，对评审内容中的各项要求有详细阐述； 2.可实施性：切合本项目实际情况，提出步骤清晰、合理的方案； 3.针对性：方案能够紧扣项目实际情况，内容科学合理。 三、赋分标准（满分8分） ①安全管理目标：每完全满足一项评审标准得1分，满分2分； ②安全管理机构职责分工：每完全满足一项评审标准得1分，满分2分； ③安全管理制度：每完全满足一项评审标准得1分，满分2分； ④安全保证措施：每完全满足一项评审标准得1分，满分2分；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安全管理体系与措施.docx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供应商针对本项目制定资源配备计划包含：①劳动力计划②主要材料供应计划③施工机械设备配备计划④资源调配计划。 二、评审标准： 1.完整性：方案全面，对评审内容中的各项要求有详细阐述； 2.可实施性：切合本项目实际情况，提出步骤清晰、合理的方案； 3.针对性：方案能够紧扣项目实际情况，内容科学合理。 三、赋分标准（满分8分） ①劳动力计划：每完全满足一项评审标准得1分，满分2分； ②主要材料供应计划：每完全满足一项评审标准得1分，满分2分； ③施工机械设备配备计划：每完全满足一项评审标准得1分，满分2分； ④资源调配计划：每完全满足一项评审标准得1分，满分2分；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资源配备计划.docx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三、赋分标准（满分8分） ①环境保护管理目标：每完全满足一项评审标准得1分，满分2分； ②环境保护管理机构职责分工：每完全满足一项评审标准得1分，满分2分； ③环境保护管理制度：每完全满足一项评审标准得1分，满分2分； ④环境保护保证措施：每完全满足一项评审标准得1分，满分2分；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双重预防机制</w:t>
            </w:r>
          </w:p>
        </w:tc>
        <w:tc>
          <w:tcPr>
            <w:tcW w:type="dxa" w:w="2492"/>
          </w:tcPr>
          <w:p>
            <w:pPr>
              <w:pStyle w:val="null3"/>
            </w:pPr>
            <w:r>
              <w:rPr>
                <w:rFonts w:ascii="仿宋_GB2312" w:hAnsi="仿宋_GB2312" w:cs="仿宋_GB2312" w:eastAsia="仿宋_GB2312"/>
              </w:rPr>
              <w:t>一、评审内容 供应商针对本项目建立双重预防机制包含：①风险分级管控②隐患排查治理 二、评审标准： 1.完整性：方案全面，对评审内容中的各项要求有详细阐述； 2.可实施性：切合本项目实际情况，提出步骤清晰、合理的方案； 3.针对性：方案能够紧扣项目实际情况，内容科学合理。 三、赋分标准（满分6分） ①风险分级管控：每完全满足一项评审标准得1分，满分3分； ②隐患排查治理：每完全满足一项评审标准得1分，满分3分；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双重预防机制.docx</w:t>
            </w:r>
          </w:p>
        </w:tc>
      </w:tr>
      <w:tr>
        <w:tc>
          <w:tcPr>
            <w:tcW w:type="dxa" w:w="831"/>
            <w:vMerge/>
          </w:tcPr>
          <w:p/>
        </w:tc>
        <w:tc>
          <w:tcPr>
            <w:tcW w:type="dxa" w:w="1661"/>
          </w:tcPr>
          <w:p>
            <w:pPr>
              <w:pStyle w:val="null3"/>
            </w:pPr>
            <w:r>
              <w:rPr>
                <w:rFonts w:ascii="仿宋_GB2312" w:hAnsi="仿宋_GB2312" w:cs="仿宋_GB2312" w:eastAsia="仿宋_GB2312"/>
              </w:rPr>
              <w:t>提供2022年4月至今同类项目业绩，以合同为准，复印件加盖单位公章</w:t>
            </w:r>
          </w:p>
        </w:tc>
        <w:tc>
          <w:tcPr>
            <w:tcW w:type="dxa" w:w="2492"/>
          </w:tcPr>
          <w:p>
            <w:pPr>
              <w:pStyle w:val="null3"/>
            </w:pPr>
            <w:r>
              <w:rPr>
                <w:rFonts w:ascii="仿宋_GB2312" w:hAnsi="仿宋_GB2312" w:cs="仿宋_GB2312" w:eastAsia="仿宋_GB2312"/>
              </w:rPr>
              <w:t>提供2022年4月至今同类项目业绩，以合同为准，复印件加盖单位公章，每份计2分，计满4分为止。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2022年4月至今同类项目业绩.docx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三、赋分标准（满分10分） ①施工过程中的相关承诺：每完全满足一项评审标准得1分，满分2分； ②投入材料质量承诺：每完全满足一项评审标准得1分，满分2分； ③质量保修期服务承诺：每完全满足一项评审标准得1分，满分2分； ④服务响应时间：每完全满足一项评审标准得1分，满分2分； ⑤服务响应措施：每完全满足一项评审标准得1分，满分2分；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磋商分项报价表.docx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详见附件：磋商函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详见附件：2022年4月至今同类项目业绩.docx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详见附件：质量管理体系与措施.docx</w:t>
      </w:r>
    </w:p>
    <w:p>
      <w:pPr>
        <w:pStyle w:val="null3"/>
        <w:ind w:firstLine="960"/>
      </w:pPr>
      <w:r>
        <w:rPr>
          <w:rFonts w:ascii="仿宋_GB2312" w:hAnsi="仿宋_GB2312" w:cs="仿宋_GB2312" w:eastAsia="仿宋_GB2312"/>
        </w:rPr>
        <w:t>详见附件：工程进度计划与保证措施.docx</w:t>
      </w:r>
    </w:p>
    <w:p>
      <w:pPr>
        <w:pStyle w:val="null3"/>
        <w:ind w:firstLine="960"/>
      </w:pPr>
      <w:r>
        <w:rPr>
          <w:rFonts w:ascii="仿宋_GB2312" w:hAnsi="仿宋_GB2312" w:cs="仿宋_GB2312" w:eastAsia="仿宋_GB2312"/>
        </w:rPr>
        <w:t>详见附件：安全管理体系与措施.docx</w:t>
      </w:r>
    </w:p>
    <w:p>
      <w:pPr>
        <w:pStyle w:val="null3"/>
        <w:ind w:firstLine="960"/>
      </w:pPr>
      <w:r>
        <w:rPr>
          <w:rFonts w:ascii="仿宋_GB2312" w:hAnsi="仿宋_GB2312" w:cs="仿宋_GB2312" w:eastAsia="仿宋_GB2312"/>
        </w:rPr>
        <w:t>详见附件：资源配备计划.docx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详见附件：双重预防机制.docx</w:t>
      </w:r>
    </w:p>
    <w:p>
      <w:pPr>
        <w:pStyle w:val="null3"/>
        <w:ind w:firstLine="960"/>
      </w:pPr>
      <w:r>
        <w:rPr>
          <w:rFonts w:ascii="仿宋_GB2312" w:hAnsi="仿宋_GB2312" w:cs="仿宋_GB2312" w:eastAsia="仿宋_GB2312"/>
        </w:rPr>
        <w:t>详见附件：项目实施的主要组成人员简历表.docx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