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版本号：城发【招】字2025-10120250603001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关于桥梁落水管疏通保洁、排水设施维修工程的采购项目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城发【招】字2025-101</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中招城发项目管理咨询有限公司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中招城发项目管理咨询有限公司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关于桥梁落水管疏通保洁、排水设施维修工程的采购项目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城发【招】字2025-101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关于桥梁落水管疏通保洁、排水设施维修工程的采购项目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关于桥梁落水管疏通保洁、排水设施维修工程的采购项目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采购包1（关于桥梁落水管疏通保洁、排水设施维修工程的采购项目）：属于专门面向中小企业采购。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2、财务状况：提供2024年度赋码的财务审计报告（成立时间至提交投标文件截止时间不足一年的可提供成立后任意时段的资产负债表），或开标前半年内其基本存款账户开户银行出具的资信证明；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3、完税证明：提供2024年6月至今已缴纳的至少一个月的纳税证明或完税证明，依法免税的单位应提供相关证明材料；</w:t>
      </w:r>
    </w:p>
    <w:p>
      <w:pPr>
        <w:pStyle w:val="null3"/>
      </w:pPr>
      <w:r>
        <w:rPr>
          <w:rFonts w:ascii="仿宋_GB2312" w:hAnsi="仿宋_GB2312" w:cs="仿宋_GB2312" w:eastAsia="仿宋_GB2312"/>
        </w:rPr>
        <w:t>4、社保缴纳情况：提供2024年6月至今已缴存的至少一个月的社会保障资金缴存单据或社保机构开具的社会保险参保缴费情况证明，依法不需要缴纳社会保障资金的单位应提供相关证明材料；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7、法定代表人授权书或法定代表人证明书：法定代表人授权书及被授权人身份证复印件加盖公章（法定代表人直接参加投标须出具法定代表人证明书及法定代表人身份证复印件加盖公章）；</w:t>
      </w:r>
    </w:p>
    <w:p>
      <w:pPr>
        <w:pStyle w:val="null3"/>
      </w:pPr>
      <w:r>
        <w:rPr>
          <w:rFonts w:ascii="仿宋_GB2312" w:hAnsi="仿宋_GB2312" w:cs="仿宋_GB2312" w:eastAsia="仿宋_GB2312"/>
        </w:rPr>
        <w:t>8、声明函：单位负责人为同一人或者存在直接控股、管理关系的不同供应商（承包商），不得同时参加本项目的投标；</w:t>
      </w:r>
    </w:p>
    <w:p>
      <w:pPr>
        <w:pStyle w:val="null3"/>
      </w:pPr>
      <w:r>
        <w:rPr>
          <w:rFonts w:ascii="仿宋_GB2312" w:hAnsi="仿宋_GB2312" w:cs="仿宋_GB2312" w:eastAsia="仿宋_GB2312"/>
        </w:rPr>
        <w:t>9、承诺书：为本项目提供整体设计、规范编制或者项目管理、监理、检测等服务的供应商，不得再参加该采购项目的其他采购活动；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10、信用记录：投标供应商在磋商截止时间前不得为“信用中国”网站（www.creditchina.gov.cn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11、企业资质要求：具备市政公用工程施工总承包三级及以上资质，具备建设行政主管部门颁发的有效的企业安全生产许可证；</w:t>
      </w:r>
    </w:p>
    <w:p>
      <w:pPr>
        <w:pStyle w:val="null3"/>
      </w:pPr>
      <w:r>
        <w:rPr>
          <w:rFonts w:ascii="仿宋_GB2312" w:hAnsi="仿宋_GB2312" w:cs="仿宋_GB2312" w:eastAsia="仿宋_GB2312"/>
        </w:rPr>
        <w:t>12、拟派项目负责人资质要求：拟派项目经理具备市政公用工程二级及以上注册建造师证书，并在本单位注册，同时具备安全生产考核合格证书（B级）（提供无在建承诺）；</w:t>
      </w:r>
    </w:p>
    <w:p>
      <w:pPr>
        <w:pStyle w:val="null3"/>
      </w:pPr>
      <w:r>
        <w:rPr>
          <w:rFonts w:ascii="仿宋_GB2312" w:hAnsi="仿宋_GB2312" w:cs="仿宋_GB2312" w:eastAsia="仿宋_GB2312"/>
        </w:rPr>
        <w:t>13、中小企业声明函：本项目为专门面向中小企业；</w:t>
      </w:r>
    </w:p>
    <w:p>
      <w:pPr>
        <w:pStyle w:val="null3"/>
      </w:pPr>
      <w:r>
        <w:rPr>
          <w:rFonts w:ascii="仿宋_GB2312" w:hAnsi="仿宋_GB2312" w:cs="仿宋_GB2312" w:eastAsia="仿宋_GB2312"/>
        </w:rPr>
        <w:t>14、声明函：本项目不接受联合体投标。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中招城发项目管理咨询有限公司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西安市未央区凤城八路风景御园20号楼14层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029-86184155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采购包1：832,182.00元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说明：本项目履约保证金金额：合同金额的3% 提交方式：担保机构保函 提交时间：签订合同前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代理服务费收费标准：以成交金额为基数，按照国家计委颁布《招标代理服务收费管理暂行办法》（计价格[2002]1980号）文件规定执行按下浮10%收取,向采购代理机构一次付清代理服务费。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中招城发项目管理咨询有限公司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中招城发项目管理咨询有限公司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中招城发项目管理咨询有限公司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联系电话：029-81684155</w:t>
      </w:r>
    </w:p>
    <w:p>
      <w:pPr>
        <w:pStyle w:val="null3"/>
      </w:pPr>
      <w:r>
        <w:rPr>
          <w:rFonts w:ascii="仿宋_GB2312" w:hAnsi="仿宋_GB2312" w:cs="仿宋_GB2312" w:eastAsia="仿宋_GB2312"/>
        </w:rPr>
        <w:t>地址：西安市未央区凤城八路风景御园20号楼14层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832,182.00</w:t>
      </w:r>
    </w:p>
    <w:p>
      <w:pPr>
        <w:pStyle w:val="null3"/>
      </w:pPr>
      <w:r>
        <w:rPr>
          <w:rFonts w:ascii="仿宋_GB2312" w:hAnsi="仿宋_GB2312" w:cs="仿宋_GB2312" w:eastAsia="仿宋_GB2312"/>
        </w:rPr>
        <w:t>采购包最高限价（元）: 832,182.00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桥梁落水管疏通保洁、排水设施维修工程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832,182.00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标的名称：桥梁落水管疏通保洁、排水设施维修工程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、招标内容</w:t>
            </w:r>
          </w:p>
          <w:p>
            <w:pPr>
              <w:pStyle w:val="null3"/>
              <w:ind w:firstLine="480"/>
            </w:pPr>
            <w:r>
              <w:rPr>
                <w:rFonts w:ascii="仿宋_GB2312" w:hAnsi="仿宋_GB2312" w:cs="仿宋_GB2312" w:eastAsia="仿宋_GB2312"/>
                <w:sz w:val="24"/>
              </w:rPr>
              <w:t>1.桥梁落水管疏通工程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1）每年6次对桥面收水井进行疏通、人工挖井和污泥外运，井室修复，大约1397个采用人工对桥面收水井清掏。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2）每年6次需要对管辖的桥梁落水管疏通一次，长度13970米。采用机械疏通，人工配合，桥上设置防撞车辆，桥下设置监护车辆</w:t>
            </w:r>
          </w:p>
          <w:p>
            <w:pPr>
              <w:pStyle w:val="null3"/>
              <w:ind w:firstLine="480"/>
            </w:pPr>
            <w:r>
              <w:rPr>
                <w:rFonts w:ascii="仿宋_GB2312" w:hAnsi="仿宋_GB2312" w:cs="仿宋_GB2312" w:eastAsia="仿宋_GB2312"/>
                <w:sz w:val="24"/>
              </w:rPr>
              <w:t>2.桥梁排水设施维修工程</w:t>
            </w:r>
          </w:p>
          <w:p>
            <w:pPr>
              <w:pStyle w:val="null3"/>
              <w:ind w:firstLine="480"/>
            </w:pPr>
            <w:r>
              <w:rPr>
                <w:rFonts w:ascii="仿宋_GB2312" w:hAnsi="仿宋_GB2312" w:cs="仿宋_GB2312" w:eastAsia="仿宋_GB2312"/>
                <w:sz w:val="24"/>
              </w:rPr>
              <w:t>桥梁落水管是</w:t>
            </w:r>
            <w:r>
              <w:rPr>
                <w:rFonts w:ascii="仿宋_GB2312" w:hAnsi="仿宋_GB2312" w:cs="仿宋_GB2312" w:eastAsia="仿宋_GB2312"/>
                <w:sz w:val="24"/>
              </w:rPr>
              <w:t>PVC管材，使用时间较长，容易损坏。井篦补盖、防盗链进行维修。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1）落水管维修大约1500米。</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2）桥梁收水井井蓖共计1780个，每月按120个损坏量计算。（井蓖每个平均重量为14公斤，更换井蓖）</w:t>
            </w:r>
          </w:p>
          <w:p>
            <w:pPr>
              <w:pStyle w:val="null3"/>
              <w:ind w:firstLine="480"/>
            </w:pPr>
            <w:r>
              <w:rPr>
                <w:rFonts w:ascii="仿宋_GB2312" w:hAnsi="仿宋_GB2312" w:cs="仿宋_GB2312" w:eastAsia="仿宋_GB2312"/>
                <w:sz w:val="24"/>
              </w:rPr>
              <w:t>3.桥梁附属设施保洁、清理工程</w:t>
            </w:r>
          </w:p>
          <w:p>
            <w:pPr>
              <w:pStyle w:val="null3"/>
              <w:ind w:firstLine="480"/>
            </w:pPr>
            <w:r>
              <w:rPr>
                <w:rFonts w:ascii="仿宋_GB2312" w:hAnsi="仿宋_GB2312" w:cs="仿宋_GB2312" w:eastAsia="仿宋_GB2312"/>
                <w:sz w:val="24"/>
              </w:rPr>
              <w:t>每月对隔音板、桥铭牌进行保洁。</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1）采用人员和机械车辆对辖区内隔音板进行保洁，清洗车需有桥下监护车1辆，5名辅助工人，主要负责清洗过程中的安全事项。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2）管辖桥名牌140处每月清洗一次。每次清洗人工8人，车辆2台次。</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一、工期、项目地点、工程质量： 1、工期：1年 2、项目地点：采购人指定地点 3、工程质量：合格 4、质保期：1年 5、本项目履约保证金金额：合同金额的3% 提交方式：担保机构保函 提交时间：签订合同前 二、运输、安装： 成交单位负责本项目施工中货物的运输安装。 三、付款方式： 1、付款方式：合同签订后，甲方向乙方支付合同总价的百分之肆拾（40%）工程款；剩余百分之陆拾（60%）工程款在工程完工验收合格后支付。 2、结算方式：银行转账。 3、结算单位：乙方开具合同总价数的全额发票交采购人。 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 1、项目验收分分部验收和单位验收: 工程验收;工程施工完毕后，由采购人根据合同对工程进行分部、单位验收。 2、验收不合格的成交单位，必须在接到通知后7个日历日内确保工程通过验收。如接到通知后7个日历日内验收仍不合格，采购人可提出索赔或取消其合同。采购代理机构将把成交资格授予评审排序下一名的供应商。 3、验收依据 （1）合同文本及合同补充文件（条款）。 （2）磋商文件。 （3）成交单位的磋商响应文件。 （4）国家相关法律法规。 六、质量保证： 本工程质量等级为符合国家相关验收标准及其配套的规范要求，并达到合格标准。 七、违约责任 1.按《中华人民共和国民法典》中的相关条款执行。 2.未按合同要求工程质量不能满足技术要求，采购方有权终止合同，并对供方违约行为进行追究，同时按《中华人民共和国政府采购法》的有关规定进行处罚。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法定代表人授权书及被授权人身份证复印件加盖公章（法定代表人直接参加投标须出具法定代表人证明书及法定代表人身份证复印件加盖公章）；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具备市政公用工程施工总承包三级及以上资质，具备建设行政主管部门颁发的有效的企业安全生产许可证；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拟派项目经理具备市政公用工程二级及以上注册建造师证书，并在本单位注册，同时具备安全生产考核合格证书（B级）（提供无在建承诺）；</w:t>
            </w:r>
          </w:p>
        </w:tc>
        <w:tc>
          <w:tcPr>
            <w:tcW w:type="dxa" w:w="1661"/>
          </w:tcPr>
          <w:p>
            <w:pPr>
              <w:pStyle w:val="null3"/>
            </w:pPr>
            <w:r>
              <w:rPr>
                <w:rFonts w:ascii="仿宋_GB2312" w:hAnsi="仿宋_GB2312" w:cs="仿宋_GB2312" w:eastAsia="仿宋_GB2312"/>
              </w:rPr>
              <w:t>项目实施的主要组成人员简历表.docx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2022年4月至今同类项目业绩.docx 服务内容响应偏离表.docx 服务承诺.docx 资源配备计划.docx 商务条款响应偏离表.docx 资格证明文件.docx 强制优先采购产品承诺函 法定代表人资格证明书及法定代表人授权委托书.docx 工程进度计划与保证措施.docx 双重预防机制.docx 响应文件封面 质量管理体系与措施.docx 《拒绝政府采购领域商业贿赂承诺书》.docx 磋商函 环境保护管理体系与措施.docx 磋商声明书.docx 施工方案.docx 报价函 项目实施的主要组成人员简历表.docx 标的清单 磋商分项报价表.docx 安全管理体系与措施.docx 磋商报价一览表.docx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报价不得超过采购预算和最高限价</w:t>
            </w:r>
          </w:p>
        </w:tc>
        <w:tc>
          <w:tcPr>
            <w:tcW w:type="dxa" w:w="1661"/>
          </w:tcPr>
          <w:p>
            <w:pPr>
              <w:pStyle w:val="null3"/>
            </w:pPr>
            <w:r>
              <w:rPr>
                <w:rFonts w:ascii="仿宋_GB2312" w:hAnsi="仿宋_GB2312" w:cs="仿宋_GB2312" w:eastAsia="仿宋_GB2312"/>
              </w:rPr>
              <w:t>磋商函 报价函 标的清单 磋商分项报价表.docx 磋商报价一览表.docx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供应商针对本项目制定的施工方案与技术措施包含：①对项目总体概况表述②施工部署及措施③对项目主要及关键方案的表述④施工布置。 二、评审标准： 1.完整性：方案全面，对评审内容中的各项要求有详细阐述； 2.可实施性：切合本项目实际情况，提出步骤清晰、合理的方案； 3.针对性：方案能够紧扣项目实际情况，内容科学合理。 三、赋分标准（满分12分） ①对项目总体概况表述：每完全满足一项评审标准得1分，满分3分； ②施工部署及措施：每完全满足一项评审标准得1分，满分3分； ③对项目主要及关键方案的表述：每完全满足一项评审标准得1分，满分3分； ④施工布置：每完全满足一项评审标准得1分，满分3分；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供应商针对本项目制定的质量管理体系与措施包含：①质量管理目标②管理机构职责分工③质量管理制度④质量保证措施。 二、评审标准： 1.完整性：方案全面，对评审内容中的各项要求有详细阐述； 2.可实施性：切合本项目实际情况，提出步骤清晰、合理的方案； 3.针对性：方案能够紧扣项目实际情况，内容科学合理。 三、赋分标准（满分8分） ①质量管理目标：每完全满足一项评审标准得1分，满分2分； ②管理机构职责分工：每完全满足一项评审标准得1分，满分2分； ③质量管理制度：每完全满足一项评审标准得1分，满分2分； ④质量保证措施：每完全满足一项评审标准得1分，满分2分；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质量管理体系与措施.docx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 供应商针对本项目制定的工程进度计划与保证措施包含：①总工期及节点工期安排②施工进度计划安排③进度保证措施。 二、评审标准： 1.完整性：方案全面，对评审内容中的各项要求有详细阐述； 2.可实施性：切合本项目实际情况，提出步骤清晰、合理的方案； 3.针对性：方案能够紧扣项目实际情况，内容科学合理。 三、赋分标准（满分6分） ①总工期及节点工期安排：每完全满足一项评审标准得1分，满分2分； ②施工进度计划安排：每完全满足一项评审标准得1分，满分2分； ③进度保证措施：每完全满足一项评审标准得1分，满分2分；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工程进度计划与保证措施.docx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供应商针对本项目制定的安全管理体系与措施包含：①安全管理目标②安全管理机构职责分工③安全管理制度④安全保证措施。 二、评审标准： 1.完整性：方案全面，对评审内容中的各项要求有详细阐述； 2.可实施性：切合本项目实际情况，提出步骤清晰、合理的方案； 3.针对性：方案能够紧扣项目实际情况，内容科学合理。 三、赋分标准（满分8分） ①安全管理目标：每完全满足一项评审标准得1分，满分2分； ②安全管理机构职责分工：每完全满足一项评审标准得1分，满分2分； ③安全管理制度：每完全满足一项评审标准得1分，满分2分； ④安全保证措施：每完全满足一项评审标准得1分，满分2分；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安全管理体系与措施.docx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供应商针对本项目制定资源配备计划包含：①劳动力计划②主要材料供应计划③施工机械设备配备计划④资源调配计划。 二、评审标准： 1.完整性：方案全面，对评审内容中的各项要求有详细阐述； 2.可实施性：切合本项目实际情况，提出步骤清晰、合理的方案； 3.针对性：方案能够紧扣项目实际情况，内容科学合理。 三、赋分标准（满分8分） ①劳动力计划：每完全满足一项评审标准得1分，满分2分； ②主要材料供应计划：每完全满足一项评审标准得1分，满分2分； ③施工机械设备配备计划：每完全满足一项评审标准得1分，满分2分； ④资源调配计划：每完全满足一项评审标准得1分，满分2分；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资源配备计划.docx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三、赋分标准（满分8分） ①环境保护管理目标：每完全满足一项评审标准得1分，满分2分； ②环境保护管理机构职责分工：每完全满足一项评审标准得1分，满分2分； ③环境保护管理制度：每完全满足一项评审标准得1分，满分2分； ④环境保护保证措施：每完全满足一项评审标准得1分，满分2分；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环境保护管理体系与措施.docx</w:t>
            </w:r>
          </w:p>
        </w:tc>
      </w:tr>
      <w:tr>
        <w:tc>
          <w:tcPr>
            <w:tcW w:type="dxa" w:w="831"/>
            <w:vMerge/>
          </w:tcPr>
          <w:p/>
        </w:tc>
        <w:tc>
          <w:tcPr>
            <w:tcW w:type="dxa" w:w="1661"/>
          </w:tcPr>
          <w:p>
            <w:pPr>
              <w:pStyle w:val="null3"/>
            </w:pPr>
            <w:r>
              <w:rPr>
                <w:rFonts w:ascii="仿宋_GB2312" w:hAnsi="仿宋_GB2312" w:cs="仿宋_GB2312" w:eastAsia="仿宋_GB2312"/>
              </w:rPr>
              <w:t>双重预防机制</w:t>
            </w:r>
          </w:p>
        </w:tc>
        <w:tc>
          <w:tcPr>
            <w:tcW w:type="dxa" w:w="2492"/>
          </w:tcPr>
          <w:p>
            <w:pPr>
              <w:pStyle w:val="null3"/>
            </w:pPr>
            <w:r>
              <w:rPr>
                <w:rFonts w:ascii="仿宋_GB2312" w:hAnsi="仿宋_GB2312" w:cs="仿宋_GB2312" w:eastAsia="仿宋_GB2312"/>
              </w:rPr>
              <w:t>一、评审内容 供应商针对本项目建立双重预防机制包含：①风险分级管控②隐患排查治理 二、评审标准： 1.完整性：方案全面，对评审内容中的各项要求有详细阐述； 2.可实施性：切合本项目实际情况，提出步骤清晰、合理的方案； 3.针对性：方案能够紧扣项目实际情况，内容科学合理。 三、赋分标准（满分6分） ①风险分级管控：每完全满足一项评审标准得1分，满分3分； ②隐患排查治理：每完全满足一项评审标准得1分，满分3分；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双重预防机制.docx</w:t>
            </w:r>
          </w:p>
        </w:tc>
      </w:tr>
      <w:tr>
        <w:tc>
          <w:tcPr>
            <w:tcW w:type="dxa" w:w="831"/>
            <w:vMerge/>
          </w:tcPr>
          <w:p/>
        </w:tc>
        <w:tc>
          <w:tcPr>
            <w:tcW w:type="dxa" w:w="1661"/>
          </w:tcPr>
          <w:p>
            <w:pPr>
              <w:pStyle w:val="null3"/>
            </w:pPr>
            <w:r>
              <w:rPr>
                <w:rFonts w:ascii="仿宋_GB2312" w:hAnsi="仿宋_GB2312" w:cs="仿宋_GB2312" w:eastAsia="仿宋_GB2312"/>
              </w:rPr>
              <w:t>提供2022年4月至今同类项目业绩，以合同为准，复印件加盖单位公章</w:t>
            </w:r>
          </w:p>
        </w:tc>
        <w:tc>
          <w:tcPr>
            <w:tcW w:type="dxa" w:w="2492"/>
          </w:tcPr>
          <w:p>
            <w:pPr>
              <w:pStyle w:val="null3"/>
            </w:pPr>
            <w:r>
              <w:rPr>
                <w:rFonts w:ascii="仿宋_GB2312" w:hAnsi="仿宋_GB2312" w:cs="仿宋_GB2312" w:eastAsia="仿宋_GB2312"/>
              </w:rPr>
              <w:t>提供2022年4月至今同类项目业绩，以合同为准，复印件加盖单位公章，每份计2分，计满4分为止。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2022年4月至今同类项目业绩.docx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三、赋分标准（满分10分） ①施工过程中的相关承诺：每完全满足一项评审标准得1分，满分2分； ②投入材料质量承诺：每完全满足一项评审标准得1分，满分2分； ③质量保修期服务承诺：每完全满足一项评审标准得1分，满分2分； ④服务响应时间：每完全满足一项评审标准得1分，满分2分； ⑤服务响应措施：每完全满足一项评审标准得1分，满分2分；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价格分采用低价优先法计算，即满足磋商文件要求且磋商价格最低的磋商报价为评审基准价，其价格分为满分。其他供应商的价格分统一按照下列公式计算：磋商报价得分=（评标基准价/磋商评审价）×30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详见附件：磋商函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详见附件：2022年4月至今同类项目业绩.docx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详见附件：质量管理体系与措施.docx</w:t>
      </w:r>
    </w:p>
    <w:p>
      <w:pPr>
        <w:pStyle w:val="null3"/>
        <w:ind w:firstLine="960"/>
      </w:pPr>
      <w:r>
        <w:rPr>
          <w:rFonts w:ascii="仿宋_GB2312" w:hAnsi="仿宋_GB2312" w:cs="仿宋_GB2312" w:eastAsia="仿宋_GB2312"/>
        </w:rPr>
        <w:t>详见附件：工程进度计划与保证措施.docx</w:t>
      </w:r>
    </w:p>
    <w:p>
      <w:pPr>
        <w:pStyle w:val="null3"/>
        <w:ind w:firstLine="960"/>
      </w:pPr>
      <w:r>
        <w:rPr>
          <w:rFonts w:ascii="仿宋_GB2312" w:hAnsi="仿宋_GB2312" w:cs="仿宋_GB2312" w:eastAsia="仿宋_GB2312"/>
        </w:rPr>
        <w:t>详见附件：安全管理体系与措施.docx</w:t>
      </w:r>
    </w:p>
    <w:p>
      <w:pPr>
        <w:pStyle w:val="null3"/>
        <w:ind w:firstLine="960"/>
      </w:pPr>
      <w:r>
        <w:rPr>
          <w:rFonts w:ascii="仿宋_GB2312" w:hAnsi="仿宋_GB2312" w:cs="仿宋_GB2312" w:eastAsia="仿宋_GB2312"/>
        </w:rPr>
        <w:t>详见附件：资源配备计划.docx</w:t>
      </w:r>
    </w:p>
    <w:p>
      <w:pPr>
        <w:pStyle w:val="null3"/>
        <w:ind w:firstLine="960"/>
      </w:pPr>
      <w:r>
        <w:rPr>
          <w:rFonts w:ascii="仿宋_GB2312" w:hAnsi="仿宋_GB2312" w:cs="仿宋_GB2312" w:eastAsia="仿宋_GB2312"/>
        </w:rPr>
        <w:t>详见附件：环境保护管理体系与措施.docx</w:t>
      </w:r>
    </w:p>
    <w:p>
      <w:pPr>
        <w:pStyle w:val="null3"/>
        <w:ind w:firstLine="960"/>
      </w:pPr>
      <w:r>
        <w:rPr>
          <w:rFonts w:ascii="仿宋_GB2312" w:hAnsi="仿宋_GB2312" w:cs="仿宋_GB2312" w:eastAsia="仿宋_GB2312"/>
        </w:rPr>
        <w:t>详见附件：双重预防机制.docx</w:t>
      </w:r>
    </w:p>
    <w:p>
      <w:pPr>
        <w:pStyle w:val="null3"/>
        <w:ind w:firstLine="960"/>
      </w:pPr>
      <w:r>
        <w:rPr>
          <w:rFonts w:ascii="仿宋_GB2312" w:hAnsi="仿宋_GB2312" w:cs="仿宋_GB2312" w:eastAsia="仿宋_GB2312"/>
        </w:rPr>
        <w:t>详见附件：项目实施的主要组成人员简历表.docx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