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版本号：HC-FZB-2025-02920250603001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机关食堂食材配送服务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HC-FZB-2025-029</w:t>
      </w:r>
      <w:r>
        <w:br/>
      </w:r>
      <w:r>
        <w:br/>
      </w:r>
      <w:r>
        <w:br/>
      </w:r>
    </w:p>
    <w:p>
      <w:pPr>
        <w:pStyle w:val="null3"/>
        <w:jc w:val="center"/>
        <w:outlineLvl w:val="2"/>
      </w:pPr>
      <w:r>
        <w:rPr>
          <w:rFonts w:ascii="仿宋_GB2312" w:hAnsi="仿宋_GB2312" w:cs="仿宋_GB2312" w:eastAsia="仿宋_GB2312"/>
          <w:sz w:val="28"/>
          <w:b/>
        </w:rPr>
        <w:t>西安市未央区人民法院[158]</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西安市未央区人民法院[158]</w:t>
      </w:r>
      <w:r>
        <w:rPr>
          <w:rFonts w:ascii="仿宋_GB2312" w:hAnsi="仿宋_GB2312" w:cs="仿宋_GB2312" w:eastAsia="仿宋_GB2312"/>
        </w:rPr>
        <w:t>委托，拟对</w:t>
      </w:r>
      <w:r>
        <w:rPr>
          <w:rFonts w:ascii="仿宋_GB2312" w:hAnsi="仿宋_GB2312" w:cs="仿宋_GB2312" w:eastAsia="仿宋_GB2312"/>
        </w:rPr>
        <w:t>机关食堂食材配送服务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HC-FZB-2025-029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机关食堂食材配送服务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西安市未央区人民法院机关食堂食材配送服务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采购包1（西安市未央区人民法院机关食堂食材配送服务）：属于专门面向中小企业采购。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p>
      <w:pPr>
        <w:pStyle w:val="null3"/>
      </w:pPr>
      <w:r>
        <w:rPr>
          <w:rFonts w:ascii="仿宋_GB2312" w:hAnsi="仿宋_GB2312" w:cs="仿宋_GB2312" w:eastAsia="仿宋_GB2312"/>
        </w:rPr>
        <w:t>3、信用主体查询 ：供应商未被列入“信用中国”网站（www.creditchina.gov.cn）记录失信被执行人；不处于中国政府采购网（www.ccgp.gov.cn）政府采购严重违法失信行为信息记录中的禁止参加政府采购活动期间；供应商应提供承诺书，格式及内容具体参见“响应文件格式”；</w:t>
      </w:r>
    </w:p>
    <w:p>
      <w:pPr>
        <w:pStyle w:val="null3"/>
      </w:pPr>
      <w:r>
        <w:rPr>
          <w:rFonts w:ascii="仿宋_GB2312" w:hAnsi="仿宋_GB2312" w:cs="仿宋_GB2312" w:eastAsia="仿宋_GB2312"/>
        </w:rPr>
        <w:t>4、财务状况报告 ：提供2023年度或2024年度经会计师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 ：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 ：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7、法定代表人授权书 ：法定代表人授权书及被授权人身份证复印件（法定代表人直接参加投标时只须提供法定代表人身份证明）；供应商需在项目电子化交易系统中按要求上传相应证明文件并进行电子签章；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8、企业资质 ：提供有效的《食品经营许可证》；供应商需在项目电子化交易系统中按要求上传相应证明文件并进行电子签章。</w:t>
      </w:r>
    </w:p>
    <w:p>
      <w:pPr>
        <w:pStyle w:val="null3"/>
      </w:pPr>
      <w:r>
        <w:rPr>
          <w:rFonts w:ascii="仿宋_GB2312" w:hAnsi="仿宋_GB2312" w:cs="仿宋_GB2312" w:eastAsia="仿宋_GB2312"/>
        </w:rPr>
        <w:t>9、本项目不接受联合体响应，不允许分包 ：供应商提供《非联合体、不分包投标声明》，视为独立响应，不分包；供应商应提供承诺书，格式及内容具体参见“响应文件格式”。</w:t>
      </w:r>
    </w:p>
    <w:p>
      <w:pPr>
        <w:pStyle w:val="null3"/>
      </w:pPr>
      <w:r>
        <w:rPr>
          <w:rFonts w:ascii="仿宋_GB2312" w:hAnsi="仿宋_GB2312" w:cs="仿宋_GB2312" w:eastAsia="仿宋_GB2312"/>
        </w:rPr>
        <w:t>10、声明 ：供应商提供具有履行合同所必需的设备和专业技术能力的声明；供应商应提供承诺书，格式及内容具体参见“响应文件格式”。</w:t>
      </w:r>
    </w:p>
    <w:p>
      <w:pPr>
        <w:pStyle w:val="null3"/>
      </w:pPr>
      <w:r>
        <w:rPr>
          <w:rFonts w:ascii="仿宋_GB2312" w:hAnsi="仿宋_GB2312" w:cs="仿宋_GB2312" w:eastAsia="仿宋_GB2312"/>
        </w:rPr>
        <w:t>11、本项目专门面向中小企业采购。：供应商需在项目电子化交易系统中按要求上传相应证明文件并进行电子签章；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西安市未央区人民法院[158]</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西安市未央区浐灞大道2331号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西安市未央区人民法院[158]经办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88010006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张向宁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15619691896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采购包1：931,200.00元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费收费管理暂行办法》（计价格【2002】1980号）及《国家发展改革委关于降低部分建设项目收费标准规范收费行为等有关问题的通知》发改价格[2011]534号文件收费标准收取。成交供应商在领取《成交通知书》前，须向采购代理机构一次性支付招标代理服务费。 开户名称：华春建设工程项目管理有限责任公司 开 户 行：中国银行西安南二环支行 账 号：102807336850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西安市未央区人民法院[158]</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西安市未央区人民法院[158]</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西安市未央区人民法院[158]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符合国家相关行业标准及《中华人民共和国食品安全法》规定。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联系人：张向宁</w:t>
      </w:r>
    </w:p>
    <w:p>
      <w:pPr>
        <w:pStyle w:val="null3"/>
      </w:pPr>
      <w:r>
        <w:rPr>
          <w:rFonts w:ascii="仿宋_GB2312" w:hAnsi="仿宋_GB2312" w:cs="仿宋_GB2312" w:eastAsia="仿宋_GB2312"/>
        </w:rPr>
        <w:t>联系电话：15619691896</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西安市未央区人民法院机关食堂食材配送服务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931,200.00</w:t>
      </w:r>
    </w:p>
    <w:p>
      <w:pPr>
        <w:pStyle w:val="null3"/>
      </w:pPr>
      <w:r>
        <w:rPr>
          <w:rFonts w:ascii="仿宋_GB2312" w:hAnsi="仿宋_GB2312" w:cs="仿宋_GB2312" w:eastAsia="仿宋_GB2312"/>
        </w:rPr>
        <w:t>采购包最高限价（元）: 931,200.00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931200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标的名称：931200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一、项目基本情况：</w:t>
            </w:r>
          </w:p>
          <w:p>
            <w:pPr>
              <w:pStyle w:val="null3"/>
              <w:ind w:firstLine="400"/>
            </w:pPr>
            <w:r>
              <w:rPr>
                <w:rFonts w:ascii="仿宋_GB2312" w:hAnsi="仿宋_GB2312" w:cs="仿宋_GB2312" w:eastAsia="仿宋_GB2312"/>
              </w:rPr>
              <w:t>1、项目名称：</w:t>
            </w:r>
            <w:r>
              <w:rPr>
                <w:rFonts w:ascii="仿宋_GB2312" w:hAnsi="仿宋_GB2312" w:cs="仿宋_GB2312" w:eastAsia="仿宋_GB2312"/>
              </w:rPr>
              <w:t>西安市未央区人民法院机关食堂食材配送服务</w:t>
            </w:r>
          </w:p>
          <w:p>
            <w:pPr>
              <w:pStyle w:val="null3"/>
              <w:ind w:firstLine="400"/>
            </w:pPr>
            <w:r>
              <w:rPr>
                <w:rFonts w:ascii="仿宋_GB2312" w:hAnsi="仿宋_GB2312" w:cs="仿宋_GB2312" w:eastAsia="仿宋_GB2312"/>
              </w:rPr>
              <w:t>2、采购需求：负责供应蔬菜类食品，肉类和奶制品，调料、米面油和日常消耗品，用途为食材。</w:t>
            </w:r>
          </w:p>
          <w:p>
            <w:pPr>
              <w:pStyle w:val="null3"/>
            </w:pPr>
            <w:r>
              <w:rPr>
                <w:rFonts w:ascii="仿宋_GB2312" w:hAnsi="仿宋_GB2312" w:cs="仿宋_GB2312" w:eastAsia="仿宋_GB2312"/>
              </w:rPr>
              <w:t>二</w:t>
            </w:r>
            <w:r>
              <w:rPr>
                <w:rFonts w:ascii="仿宋_GB2312" w:hAnsi="仿宋_GB2312" w:cs="仿宋_GB2312" w:eastAsia="仿宋_GB2312"/>
              </w:rPr>
              <w:t>、采购内容及技术要求</w:t>
            </w:r>
          </w:p>
          <w:p>
            <w:pPr>
              <w:pStyle w:val="null3"/>
            </w:pPr>
            <w:r>
              <w:rPr>
                <w:rFonts w:ascii="仿宋_GB2312" w:hAnsi="仿宋_GB2312" w:cs="仿宋_GB2312" w:eastAsia="仿宋_GB2312"/>
              </w:rPr>
              <w:t>（一）采购要求</w:t>
            </w:r>
          </w:p>
          <w:p>
            <w:pPr>
              <w:pStyle w:val="null3"/>
              <w:ind w:firstLine="400"/>
            </w:pPr>
            <w:r>
              <w:rPr>
                <w:rFonts w:ascii="仿宋_GB2312" w:hAnsi="仿宋_GB2312" w:cs="仿宋_GB2312" w:eastAsia="仿宋_GB2312"/>
              </w:rPr>
              <w:t>肉类必须保证提供为当日生产产品，肉身必须盖有卫生检疫章，同时出具加盖政府机构动物卫生监督所鲜章的动物检疫合格证明，畜肉品须色泽鲜亮、无任何异味、无毛、按压无注水，纹理清晰，肉质细腻，品质好；</w:t>
            </w:r>
          </w:p>
          <w:p>
            <w:pPr>
              <w:pStyle w:val="null3"/>
              <w:ind w:firstLine="400"/>
            </w:pPr>
            <w:r>
              <w:rPr>
                <w:rFonts w:ascii="仿宋_GB2312" w:hAnsi="仿宋_GB2312" w:cs="仿宋_GB2312" w:eastAsia="仿宋_GB2312"/>
              </w:rPr>
              <w:t>禽类制品须肉面干净、无任何异味、无注水、无羽毛、表皮无疤痕，大小匀称、肉质紧致，码放整齐；</w:t>
            </w:r>
          </w:p>
          <w:p>
            <w:pPr>
              <w:pStyle w:val="null3"/>
              <w:ind w:firstLine="400"/>
            </w:pPr>
            <w:r>
              <w:rPr>
                <w:rFonts w:ascii="仿宋_GB2312" w:hAnsi="仿宋_GB2312" w:cs="仿宋_GB2312" w:eastAsia="仿宋_GB2312"/>
              </w:rPr>
              <w:t>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pPr>
              <w:pStyle w:val="null3"/>
              <w:ind w:firstLine="400"/>
            </w:pPr>
            <w:r>
              <w:rPr>
                <w:rFonts w:ascii="仿宋_GB2312" w:hAnsi="仿宋_GB2312" w:cs="仿宋_GB2312" w:eastAsia="仿宋_GB2312"/>
              </w:rPr>
              <w:t>蛋类须新鲜，无超过三日以上产品，大小均匀，外壳无破裂，光洁饱满的产品，周转箱堆放。</w:t>
            </w:r>
          </w:p>
          <w:p>
            <w:pPr>
              <w:pStyle w:val="null3"/>
              <w:ind w:firstLine="400"/>
            </w:pPr>
            <w:r>
              <w:rPr>
                <w:rFonts w:ascii="仿宋_GB2312" w:hAnsi="仿宋_GB2312" w:cs="仿宋_GB2312" w:eastAsia="仿宋_GB2312"/>
              </w:rPr>
              <w:t>豆制类须保证食材干净、不含非食品用化学物质、按统一标准加工、码放整齐、无须二次处理可以直接进行熟加工。</w:t>
            </w:r>
          </w:p>
          <w:p>
            <w:pPr>
              <w:pStyle w:val="null3"/>
              <w:ind w:firstLine="400"/>
            </w:pPr>
            <w:r>
              <w:rPr>
                <w:rFonts w:ascii="仿宋_GB2312" w:hAnsi="仿宋_GB2312" w:cs="仿宋_GB2312" w:eastAsia="仿宋_GB2312"/>
              </w:rPr>
              <w:t>水果类须保证新鲜，无农药，无异味，无挤压、虫眼、过熟或欠熟，大小重量匀称等，表面无疤痕，果体光洁饱满。</w:t>
            </w:r>
          </w:p>
          <w:p>
            <w:pPr>
              <w:pStyle w:val="null3"/>
              <w:ind w:firstLine="400"/>
            </w:pPr>
            <w:r>
              <w:rPr>
                <w:rFonts w:ascii="仿宋_GB2312" w:hAnsi="仿宋_GB2312" w:cs="仿宋_GB2312" w:eastAsia="仿宋_GB2312"/>
              </w:rPr>
              <w:t>米、面、油类大米须达到国家相应标准，验收粮、油时必须要求供方提供经国家食品卫生检验检疫机构检验出具的该批次粮、油产品检验报告或合格证。批量粮、油到货后，必须抽样打开包装仔细检查，要求供方产品不掺假、不过期、不变质、不变味、无杂质、无毒害，货物净重量须与外包装标明的重量一致，符合国家食品行业的标准产品。</w:t>
            </w:r>
          </w:p>
          <w:p>
            <w:pPr>
              <w:pStyle w:val="null3"/>
              <w:ind w:firstLine="400"/>
            </w:pPr>
            <w:r>
              <w:rPr>
                <w:rFonts w:ascii="仿宋_GB2312" w:hAnsi="仿宋_GB2312" w:cs="仿宋_GB2312" w:eastAsia="仿宋_GB2312"/>
              </w:rPr>
              <w:t>水产品类须保证鲜活、大小基本统一，水产类净菜须保证处理干净冻品外包装需完整，无破损，无不封口现象，有生产日期。干货类须保证配送种类、品牌、规格，质量完全符合招标方要求，生产日期须在保质期二分之一天之内，包装完整、无任何破损、无挤压、无破碎、无异味、无任何表面附着物或衍生物。</w:t>
            </w:r>
          </w:p>
          <w:p>
            <w:pPr>
              <w:pStyle w:val="null3"/>
              <w:ind w:firstLine="400"/>
            </w:pPr>
            <w:r>
              <w:rPr>
                <w:rFonts w:ascii="仿宋_GB2312" w:hAnsi="仿宋_GB2312" w:cs="仿宋_GB2312" w:eastAsia="仿宋_GB2312"/>
              </w:rPr>
              <w:t>调料类须保证色泽正常，具有该品种固有的香味，滋味无异味，油酱均匀的酱体或无结块的粉状固体，封口平整，无破包，夹包，漏包，无污染</w:t>
            </w:r>
            <w:r>
              <w:rPr>
                <w:rFonts w:ascii="仿宋_GB2312" w:hAnsi="仿宋_GB2312" w:cs="仿宋_GB2312" w:eastAsia="仿宋_GB2312"/>
              </w:rPr>
              <w:t>；</w:t>
            </w:r>
          </w:p>
          <w:p>
            <w:pPr>
              <w:pStyle w:val="null3"/>
              <w:ind w:firstLine="400"/>
            </w:pPr>
            <w:r>
              <w:rPr>
                <w:rFonts w:ascii="仿宋_GB2312" w:hAnsi="仿宋_GB2312" w:cs="仿宋_GB2312" w:eastAsia="仿宋_GB2312"/>
              </w:rPr>
              <w:t>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pPr>
            <w:r>
              <w:rPr>
                <w:rFonts w:ascii="仿宋_GB2312" w:hAnsi="仿宋_GB2312" w:cs="仿宋_GB2312" w:eastAsia="仿宋_GB2312"/>
              </w:rPr>
              <w:t>（二）采购清单</w:t>
            </w:r>
          </w:p>
          <w:p>
            <w:pPr>
              <w:pStyle w:val="null3"/>
              <w:ind w:firstLine="402"/>
            </w:pPr>
            <w:r>
              <w:rPr>
                <w:rFonts w:ascii="仿宋_GB2312" w:hAnsi="仿宋_GB2312" w:cs="仿宋_GB2312" w:eastAsia="仿宋_GB2312"/>
                <w:b/>
              </w:rPr>
              <w:t>肉类和奶制品：</w:t>
            </w:r>
            <w:r>
              <w:rPr>
                <w:rFonts w:ascii="仿宋_GB2312" w:hAnsi="仿宋_GB2312" w:cs="仿宋_GB2312" w:eastAsia="仿宋_GB2312"/>
              </w:rPr>
              <w:t>猪肉、牛肉、羊肉、鸡肉、鱼肉、酸奶、鸡蛋、水果等；</w:t>
            </w:r>
          </w:p>
          <w:p>
            <w:pPr>
              <w:pStyle w:val="null3"/>
              <w:ind w:firstLine="402"/>
            </w:pPr>
            <w:r>
              <w:rPr>
                <w:rFonts w:ascii="仿宋_GB2312" w:hAnsi="仿宋_GB2312" w:cs="仿宋_GB2312" w:eastAsia="仿宋_GB2312"/>
                <w:b/>
              </w:rPr>
              <w:t>蔬菜类食品：</w:t>
            </w:r>
            <w:r>
              <w:rPr>
                <w:rFonts w:ascii="仿宋_GB2312" w:hAnsi="仿宋_GB2312" w:cs="仿宋_GB2312" w:eastAsia="仿宋_GB2312"/>
              </w:rPr>
              <w:t>土豆、广茄、甜玉米、红椒、百合、羊血、魔芋、西红柿、绿柿子、香菇、韭菜、蒜苗、红薯、西芹、红萝卜、韭黄、山药、黄瓜、蒜苔、莲花白、莲菜、白洋葱、红洋葱、西兰花、芦笋、苦菊、圆椒、韭菜苔、白菜、象牙白萝卜、杏鲍菇、茼蒿、青线椒、小金瓜、牛腿南瓜、大葱、红美人、青美人、大豆芽、小青菜、尖椒、冬瓜、油葫芦、鲜生姜、干生姜、中长三牙、小豆芽、菠菜、螺丝椒、麦芹、香菜、净蒜、净笋、苦瓜、圆茄、豆王、豇豆、芥菜、青萝卜、水萝卜、紫薯、新毛蒜、带皮青笋、彩椒、丝瓜、佛手瓜、荷兰豆、蜜豆、小白菜、紫甘蓝、圆生菜、龙须菜、广红、苦菊、油麦菜、空心菜、苜蓿菜、荠荠菜、鸡毛菜、田七苗、西洋菜、介兰、秋葵、广东菜心、茴香、菜心、豆尖、豆苗、菜花、有机菜花、蘑菇、金针菇、茶树菇、草菇、蟹味菇、白玉菇、金丝咸菜、榨菜、头菜、酱黄瓜、酱辣子、豆腐乳、八宝雪菜、三文治、海带丝、脆豆腐、米线、凉粉、醋粉、盐海带、醪糟、海带片、老豆腐、嫩豆腐、豆腐干、豆腐皮卤香干、油豆包、素鸡、大面筋、小面筋、牛皮干等。</w:t>
            </w:r>
          </w:p>
          <w:p>
            <w:pPr>
              <w:pStyle w:val="null3"/>
              <w:ind w:firstLine="402"/>
            </w:pPr>
            <w:r>
              <w:rPr>
                <w:rFonts w:ascii="仿宋_GB2312" w:hAnsi="仿宋_GB2312" w:cs="仿宋_GB2312" w:eastAsia="仿宋_GB2312"/>
                <w:b/>
              </w:rPr>
              <w:t>调料、米面油和日常消耗品：</w:t>
            </w:r>
            <w:r>
              <w:rPr>
                <w:rFonts w:ascii="仿宋_GB2312" w:hAnsi="仿宋_GB2312" w:cs="仿宋_GB2312" w:eastAsia="仿宋_GB2312"/>
              </w:rPr>
              <w:t>长粒大米、小米、特一粉、菜籽油、花生油、红烧酱料、生抽、老抽酱油、鸡汁、白醋、香醋、一品鲜、香麻油、剁椒、番茄沙司、鲍鱼汁、香辣酱、味极鲜、鸡酱、五丰黎红花椒油、亿家餐香油、麻辣鱼料、绍兴料酒、家乐辣鲜露、家乐酸辣鲜露、蒸鱼豉油、粟米粒、烧汁、黑椒汁、享口福韭花、前云豆瓣、海鲜酱、花生酱、柱候酱、咖喱粉、咖喱膏、海天蚝油、番茄酱、阳江豆豉、聚兴园红油豆瓣、重庆风味豆豉、红九九、百信鸡精、芥末膏、芥末油、蒸肉粉、梅干菜、小米辣、老干妈、面酱、大酱、红糖、喜香源果脯、圆红椒、岐山红醋、十三香、大洋紫菜、添伊家芝麻酱、发酵粉、建石泡打粉、白糖、味精、牛肉酱、海藻盐、玉米淀粉、红三角碱面、桃仁、云丝、安琪酵母、泡打粉、美博消泡剂、豆腐王内脂、海天黄豆酱油、敖东粟米羹、鸡油、牛油、花干、鸡精、生白芝麻、熟白芝麻、熟黑芝麻、生黑芝麻、粉条、干黄花菜、辣椒段、木耳、枸杞、细辣面、干土豆片、粗辣面、大辣片、干辣椒、天鹰椒片、魔鬼椒中粗、腐竹、大枣、红薯淀粉、桂皮、良姜、白寇、香草、八角、香叶、白芷、丁香、肉蔻、草果、当归、麻椒、干圣桑、土豆粉、宽粉、过桥米线、粉带、</w:t>
            </w:r>
          </w:p>
          <w:p>
            <w:pPr>
              <w:pStyle w:val="null3"/>
            </w:pPr>
            <w:r>
              <w:rPr>
                <w:rFonts w:ascii="仿宋_GB2312" w:hAnsi="仿宋_GB2312" w:cs="仿宋_GB2312" w:eastAsia="仿宋_GB2312"/>
              </w:rPr>
              <w:t>黑腐竹、小香、松仁、山奈、陈皮、甘草、千里香、红曲米、粉丝、银耳、葡萄干、冰糖、孜然、五香粉、凉皮料、花椒粉、花椒粒、胡椒粉等；</w:t>
            </w:r>
          </w:p>
          <w:p>
            <w:pPr>
              <w:pStyle w:val="null3"/>
            </w:pPr>
            <w:r>
              <w:rPr>
                <w:rFonts w:ascii="仿宋_GB2312" w:hAnsi="仿宋_GB2312" w:cs="仿宋_GB2312" w:eastAsia="仿宋_GB2312"/>
                <w:b/>
              </w:rPr>
              <w:t>（三）价款结算办法</w:t>
            </w:r>
          </w:p>
          <w:p>
            <w:pPr>
              <w:pStyle w:val="null3"/>
            </w:pPr>
            <w:r>
              <w:rPr>
                <w:rFonts w:ascii="仿宋_GB2312" w:hAnsi="仿宋_GB2312" w:cs="仿宋_GB2312" w:eastAsia="仿宋_GB2312"/>
              </w:rPr>
              <w:t>1.每月25日为结算日，乙方须按学校要求提供分类发票，通过对公转账进行结算。</w:t>
            </w:r>
          </w:p>
          <w:p>
            <w:pPr>
              <w:pStyle w:val="null3"/>
            </w:pPr>
            <w:r>
              <w:rPr>
                <w:rFonts w:ascii="仿宋_GB2312" w:hAnsi="仿宋_GB2312" w:cs="仿宋_GB2312" w:eastAsia="仿宋_GB2312"/>
              </w:rPr>
              <w:t>2.月结算价=∑招标人当月询价定价（单价）*实际采购量*</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报价</w:t>
            </w:r>
            <w:r>
              <w:rPr>
                <w:rFonts w:ascii="仿宋_GB2312" w:hAnsi="仿宋_GB2312" w:cs="仿宋_GB2312" w:eastAsia="仿宋_GB2312"/>
              </w:rPr>
              <w:t>下浮率</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，其中</w:t>
            </w:r>
            <w:r>
              <w:rPr>
                <w:rFonts w:ascii="仿宋_GB2312" w:hAnsi="仿宋_GB2312" w:cs="仿宋_GB2312" w:eastAsia="仿宋_GB2312"/>
              </w:rPr>
              <w:t>报价下浮率</w:t>
            </w:r>
            <w:r>
              <w:rPr>
                <w:rFonts w:ascii="仿宋_GB2312" w:hAnsi="仿宋_GB2312" w:cs="仿宋_GB2312" w:eastAsia="仿宋_GB2312"/>
              </w:rPr>
              <w:t>为投标单位投标</w:t>
            </w:r>
            <w:r>
              <w:rPr>
                <w:rFonts w:ascii="仿宋_GB2312" w:hAnsi="仿宋_GB2312" w:cs="仿宋_GB2312" w:eastAsia="仿宋_GB2312"/>
              </w:rPr>
              <w:t>报价下浮率</w:t>
            </w:r>
            <w:r>
              <w:rPr>
                <w:rFonts w:ascii="仿宋_GB2312" w:hAnsi="仿宋_GB2312" w:cs="仿宋_GB2312" w:eastAsia="仿宋_GB2312"/>
              </w:rPr>
              <w:t>，后期不做调整。</w:t>
            </w:r>
          </w:p>
          <w:p>
            <w:pPr>
              <w:pStyle w:val="null3"/>
            </w:pPr>
            <w:r>
              <w:rPr>
                <w:rFonts w:ascii="仿宋_GB2312" w:hAnsi="仿宋_GB2312" w:cs="仿宋_GB2312" w:eastAsia="仿宋_GB2312"/>
                <w:b/>
              </w:rPr>
              <w:t>（四）标志、包装</w:t>
            </w:r>
          </w:p>
          <w:p>
            <w:pPr>
              <w:pStyle w:val="null3"/>
              <w:ind w:firstLine="400"/>
            </w:pPr>
            <w:r>
              <w:rPr>
                <w:rFonts w:ascii="仿宋_GB2312" w:hAnsi="仿宋_GB2312" w:cs="仿宋_GB2312" w:eastAsia="仿宋_GB2312"/>
              </w:rPr>
              <w:t>外包装箱（袋）：必须按照</w:t>
            </w:r>
            <w:r>
              <w:rPr>
                <w:rFonts w:ascii="仿宋_GB2312" w:hAnsi="仿宋_GB2312" w:cs="仿宋_GB2312" w:eastAsia="仿宋_GB2312"/>
              </w:rPr>
              <w:t xml:space="preserve"> GB 7718 中要求标明产品的食品名称、净含量和规格、生产者和（或）经销者的名称、地址和联系方式、生产日期和保质期、贮存条件、食品生产许可证编号、产品标准代号及其他需要标示的内容等。</w:t>
            </w:r>
          </w:p>
          <w:p>
            <w:pPr>
              <w:pStyle w:val="null3"/>
            </w:pPr>
            <w:r>
              <w:rPr>
                <w:rFonts w:ascii="仿宋_GB2312" w:hAnsi="仿宋_GB2312" w:cs="仿宋_GB2312" w:eastAsia="仿宋_GB2312"/>
                <w:b/>
              </w:rPr>
              <w:t>（五）产品溯源</w:t>
            </w:r>
          </w:p>
          <w:p>
            <w:pPr>
              <w:pStyle w:val="null3"/>
              <w:ind w:firstLine="400"/>
            </w:pPr>
            <w:r>
              <w:rPr>
                <w:rFonts w:ascii="仿宋_GB2312" w:hAnsi="仿宋_GB2312" w:cs="仿宋_GB2312" w:eastAsia="仿宋_GB2312"/>
              </w:rPr>
              <w:t>供应商提供的所有产品，均可通过国家或省、市肉菜追溯平台追溯到产品的供应源头，包括其生产企业及生产地点、生产企业及场地、物流运输企业、销售配送企业等全线追溯信息。</w:t>
            </w:r>
          </w:p>
          <w:p>
            <w:pPr>
              <w:pStyle w:val="null3"/>
            </w:pPr>
            <w:r>
              <w:rPr>
                <w:rFonts w:ascii="仿宋_GB2312" w:hAnsi="仿宋_GB2312" w:cs="仿宋_GB2312" w:eastAsia="仿宋_GB2312"/>
                <w:b/>
              </w:rPr>
              <w:t>（六）车辆配送服务</w:t>
            </w:r>
          </w:p>
          <w:p>
            <w:pPr>
              <w:pStyle w:val="null3"/>
              <w:ind w:firstLine="400"/>
            </w:pPr>
            <w:r>
              <w:rPr>
                <w:rFonts w:ascii="仿宋_GB2312" w:hAnsi="仿宋_GB2312" w:cs="仿宋_GB2312" w:eastAsia="仿宋_GB2312"/>
              </w:rPr>
              <w:t>供应商自备送货车（冷藏或恒温），安排专人及时供货，装卸费、送货费用及运输安全由供货方承担；</w:t>
            </w:r>
          </w:p>
          <w:p>
            <w:pPr>
              <w:pStyle w:val="null3"/>
            </w:pPr>
            <w:r>
              <w:rPr>
                <w:rFonts w:ascii="仿宋_GB2312" w:hAnsi="仿宋_GB2312" w:cs="仿宋_GB2312" w:eastAsia="仿宋_GB2312"/>
                <w:b/>
              </w:rPr>
              <w:t>（七）配送要求</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采购人根据菜谱需求，提前书面（传真或邮件）告知供应商，供应商须在</w:t>
            </w:r>
            <w:r>
              <w:rPr>
                <w:rFonts w:ascii="仿宋_GB2312" w:hAnsi="仿宋_GB2312" w:cs="仿宋_GB2312" w:eastAsia="仿宋_GB2312"/>
                <w:sz w:val="18"/>
                <w:color w:val="000000"/>
              </w:rPr>
              <w:t>1日内书面（传真或邮件）告知采购人准备情况。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派一名项目负责人，直接与甲方沟通，负责每批次供货现场的监督和协调工作，项目负责人接收甲方提出的问题与要求，及时解决采购人在项目实施过程中遇到的问题；且配备能够完成本项目备货、质检、配送、管理等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配备符合食品安全要求的专用车辆，冷冻品严格按照冷链运输要求运输。</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符合国家相关行业标准及《中华人民共和国食品安全法》规定。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剩余款项按月结算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依照《中华人民共和国民法典》、《中华人民共和国政府采购法》及其他有关法律、行政法规，遵循平等、自愿、公平和诚实信用的原则。</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承诺书，格式及内容具体参见“响应文件格式”；</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会计师事务所或审计机构出具完整的财务审计报告（至少包括资产负债表和利润表，成立时间至提交响应文件截止时间不足一年的可提供成立后任意时段的资产负债表），或其基本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法定代表人授权书及被授权人身份证复印件（法定代表人直接参加投标时只须提供法定代表人身份证明）；供应商需在项目电子化交易系统中按要求上传相应证明文件并进行电子签章；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供应商提供《非联合体、不分包投标声明》，视为独立响应，不分包；供应商应提供承诺书，格式及内容具体参见“响应文件格式”。</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供应商提供具有履行合同所必需的设备和专业技术能力的声明；供应商应提供承诺书，格式及内容具体参见“响应文件格式”。</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合同文本.docx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与营业执照、资质证书或其他组织一致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供应商提供的配送服务方案（内容包括但不限于本项目配送服务的各方面方案，如供货保障、管理制度、运行模式）进行评审： 配送服务方案详细全面、思路清晰、科学合理、切实可行，完全满足采购人需求计12分； 配送服务方案较详细全面、思路较清晰、切实可行，满足采购人需求计9分； 配送服务方案粗略、思路不清晰，部分满足采购人需求计6分； 配送服务方案粗略、思路不清晰，不能满足采购人需求计3分； 无配送服务方案且不能满足采购人需求计0分；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的质量保证方案（内容包括但不限于质量安全保证具体措施、卫生安全、货物的来源、采购环节控制、加工包装保存运输等环节）进行评审，提供必要的证明材料复印件或扫描件（包括但不限于销售协议、代理商授权、检测报告等）： 质量保证方案完整、详尽，证明文件齐全计12分； 质量保证方案较完整、详尽，证明文件基本齐全计9分； 质量保证方案较粗略、不详尽，证明文件部分齐全计6分； 质量保证方案粗略、不详尽，证明文件不齐全计3分； 未提供方案和证明材料的计0分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在管理运营期间，食品配送保障措施完善，具备完善的配送设备及车辆运输情况配备（包括但不限于车辆类型、数量、用途、配置说明、保温保鲜条件、使用年限、车况等）：保障措施完善、运输车辆配备科学合理计10分； 保障措施较完善、运输车辆配备基本科学合理计7分； 保障措施较粗略、运输车辆配备不能满足项目服务要求计5分； 保障措施粗略、运输车辆配备不科学、不合理计2分； 无保障措施且无运输车辆配备计0分。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供应商针对本项目人员组成进行综合赋分： ①为本项目配备的服务团队人员充足、人员配备结构合理，除项目负责人以外的其他人员相关工作经验丰富，满足本项目需要计10分； ②为本项目配备的服务团队人员充足、人员配备结构基本合理，除项目负责人以外的其他人员具有一定的相关工作经验，基本能够满足本项目需要计7分； ③人员配备结构一般、人员配送经验较少，仅部分内容能满足采购人的需要计5分； ④人员配备结构简单，人员相关经验少，方案描述简单笼统计2分； ⑤人员配置简单、不合理计0分。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食品原材料存储能力</w:t>
            </w:r>
          </w:p>
        </w:tc>
        <w:tc>
          <w:tcPr>
            <w:tcW w:type="dxa" w:w="2492"/>
          </w:tcPr>
          <w:p>
            <w:pPr>
              <w:pStyle w:val="null3"/>
            </w:pPr>
            <w:r>
              <w:rPr>
                <w:rFonts w:ascii="仿宋_GB2312" w:hAnsi="仿宋_GB2312" w:cs="仿宋_GB2312" w:eastAsia="仿宋_GB2312"/>
              </w:rPr>
              <w:t>食品原材料储存能力满足本项目需求，包括但不限于配送车间、保鲜仓库、存货仓库、冷藏仓库、仓储设备、各种设施条件等，提供相关证明材料（附场地图片）。 食品原材料储存场地配有固定的配送车间、保鲜仓库、存货仓库等，场地规范、条件良好、卫生整洁，有场地证明资料，能较好满足采购人需求的计10分； 食品原材料储存场地基本规范、标准，卫生较整洁，有场地证明材料，基本能满足采购人需求计7分； 食品原材料储存场地规范、标准，卫生较整洁，仅有部分场地证明材料，不能满足采购人需求计5分； 食品原材料储存场地不规范、现场卫生差，未提供证明材料，不能满足采购人需求计2分； 未提供食品原材料存储能力及证明材料计0分。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供应商针对本项目的应急配送方案(包括但不限于采购人临时需求、恶劣天气影响、交通延误、食材短缺等特殊情况制定应急处理方案)： 应急配送方案针对性强，有相对全面的预见性，应对措施科学、有效、可行计10分； 应急配送方案针对性和预见性较全面，应对措施较科学、有效、基本可行计7分； 应急配送方案存在瑕疵，预见性或应对措施不科学、不可行的计5分； 应急配送方案不完善，欠缺预见性或缺乏应对措施描述不清晰、不可行性计2分； 方案完全脱离本项目实际或未提供应急配送方案计0分；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针对食品配送防护及若发生食物中毒或者其他潜在造成人员健康问题的安全事故的应急方案： 应急方案科学、合理、可行计8分； 应急方案基本科学、较合理、可行性差计5分； 应急方案不科学、不合理且不可行计2分； 方案完全脱离本项目实际或未提供方案计0分。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所供产品出现不合格、运输途中破损等问题时，供应商接到采购人通知后的响应时间及退换货方案评审： 响应速度快、退换货服务方案描述无缺漏，完整详尽计12分；响应较快、退换货服务方案描述无缺漏，基本完整详尽计9分； 响应及时、退换货服务方案描述有缺漏，不完整详尽计6分； 响应时间慢、退换货服务方案描述粗略且不完整详尽计3分； 未响应或方案完全脱离本项目实际计0分。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提供2022年至今的类似项目业绩（以合同复印件为准），每提供一份业绩得2分，最多计6分。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1-报价下浮率）为评标基准价，其价格分为满分。其他投标人的价格分统一按照下列公式计算：投标报价得分=（评标基准价/（1-报价下浮率））×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