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64718">
      <w:pPr>
        <w:pStyle w:val="5"/>
        <w:rPr>
          <w:rFonts w:hint="eastAsia" w:ascii="宋体" w:hAnsi="宋体" w:eastAsia="宋体" w:cs="宋体"/>
        </w:rPr>
      </w:pPr>
    </w:p>
    <w:p w14:paraId="68091FB8">
      <w:pPr>
        <w:jc w:val="both"/>
        <w:rPr>
          <w:rFonts w:hint="eastAsia" w:ascii="宋体" w:hAnsi="宋体" w:eastAsia="宋体" w:cs="宋体"/>
          <w:b/>
          <w:sz w:val="44"/>
          <w:szCs w:val="44"/>
        </w:rPr>
      </w:pPr>
    </w:p>
    <w:p w14:paraId="221DD35E">
      <w:pPr>
        <w:rPr>
          <w:rFonts w:hint="eastAsia" w:ascii="宋体" w:hAnsi="宋体" w:eastAsia="宋体" w:cs="宋体"/>
          <w:b/>
          <w:sz w:val="44"/>
          <w:szCs w:val="44"/>
        </w:rPr>
      </w:pPr>
    </w:p>
    <w:p w14:paraId="44A6CE1D">
      <w:pPr>
        <w:jc w:val="center"/>
        <w:rPr>
          <w:rFonts w:hint="eastAsia" w:ascii="宋体" w:hAnsi="宋体" w:eastAsia="宋体" w:cs="宋体"/>
          <w:b/>
          <w:sz w:val="44"/>
          <w:szCs w:val="44"/>
        </w:rPr>
      </w:pPr>
      <w:r>
        <w:rPr>
          <w:rFonts w:hint="eastAsia" w:ascii="宋体" w:hAnsi="宋体" w:eastAsia="宋体" w:cs="宋体"/>
          <w:b/>
          <w:sz w:val="44"/>
          <w:szCs w:val="44"/>
          <w:lang w:val="zh-CN"/>
        </w:rPr>
        <w:t>西安市建设工程质量安全监督站</w:t>
      </w:r>
      <w:r>
        <w:rPr>
          <w:rFonts w:hint="eastAsia" w:ascii="宋体" w:hAnsi="宋体" w:eastAsia="宋体" w:cs="宋体"/>
          <w:b/>
          <w:sz w:val="44"/>
          <w:szCs w:val="44"/>
          <w:lang w:val="zh-CN" w:eastAsia="zh-CN"/>
        </w:rPr>
        <w:t>2025年度市政工程质量</w:t>
      </w:r>
      <w:r>
        <w:rPr>
          <w:rFonts w:hint="eastAsia" w:ascii="宋体" w:hAnsi="宋体" w:eastAsia="宋体" w:cs="宋体"/>
          <w:b/>
          <w:sz w:val="44"/>
          <w:szCs w:val="44"/>
          <w:lang w:val="zh-CN"/>
        </w:rPr>
        <w:t>抽测项目</w:t>
      </w:r>
    </w:p>
    <w:p w14:paraId="745FCB65">
      <w:pPr>
        <w:rPr>
          <w:rFonts w:hint="eastAsia" w:ascii="宋体" w:hAnsi="宋体" w:eastAsia="宋体" w:cs="宋体"/>
          <w:b/>
          <w:sz w:val="44"/>
          <w:szCs w:val="44"/>
        </w:rPr>
      </w:pPr>
      <w:bookmarkStart w:id="11" w:name="_GoBack"/>
      <w:bookmarkEnd w:id="11"/>
    </w:p>
    <w:p w14:paraId="741A84F9">
      <w:pPr>
        <w:jc w:val="center"/>
        <w:rPr>
          <w:rFonts w:hint="eastAsia" w:ascii="宋体" w:hAnsi="宋体" w:eastAsia="宋体" w:cs="宋体"/>
          <w:b/>
          <w:sz w:val="36"/>
          <w:szCs w:val="36"/>
        </w:rPr>
      </w:pPr>
    </w:p>
    <w:p w14:paraId="127A2B52">
      <w:pPr>
        <w:jc w:val="center"/>
        <w:rPr>
          <w:rFonts w:hint="eastAsia" w:ascii="宋体" w:hAnsi="宋体" w:eastAsia="宋体" w:cs="宋体"/>
          <w:b/>
          <w:sz w:val="56"/>
          <w:szCs w:val="56"/>
        </w:rPr>
      </w:pPr>
      <w:r>
        <w:rPr>
          <w:rFonts w:hint="eastAsia" w:ascii="宋体" w:hAnsi="宋体" w:eastAsia="宋体" w:cs="宋体"/>
          <w:b/>
          <w:sz w:val="56"/>
          <w:szCs w:val="56"/>
        </w:rPr>
        <w:t>合 同 书</w:t>
      </w:r>
    </w:p>
    <w:p w14:paraId="430E623F">
      <w:pPr>
        <w:pStyle w:val="5"/>
        <w:rPr>
          <w:rFonts w:hint="eastAsia" w:ascii="宋体" w:hAnsi="宋体" w:eastAsia="宋体" w:cs="宋体"/>
        </w:rPr>
      </w:pPr>
    </w:p>
    <w:p w14:paraId="56C57927">
      <w:pPr>
        <w:jc w:val="center"/>
        <w:rPr>
          <w:rFonts w:hint="eastAsia" w:ascii="宋体" w:hAnsi="宋体" w:eastAsia="宋体" w:cs="宋体"/>
          <w:b/>
          <w:sz w:val="48"/>
          <w:szCs w:val="48"/>
        </w:rPr>
      </w:pPr>
    </w:p>
    <w:p w14:paraId="2B3100CE">
      <w:pPr>
        <w:jc w:val="center"/>
        <w:rPr>
          <w:rFonts w:hint="eastAsia" w:ascii="宋体" w:hAnsi="宋体" w:eastAsia="宋体" w:cs="宋体"/>
          <w:b/>
          <w:bCs/>
          <w:sz w:val="30"/>
          <w:szCs w:val="30"/>
        </w:rPr>
      </w:pPr>
      <w:r>
        <w:rPr>
          <w:rFonts w:hint="eastAsia" w:ascii="宋体" w:hAnsi="宋体" w:eastAsia="宋体" w:cs="宋体"/>
          <w:b/>
          <w:sz w:val="32"/>
          <w:szCs w:val="32"/>
        </w:rPr>
        <w:t>合同编号：</w:t>
      </w:r>
      <w:r>
        <w:rPr>
          <w:rFonts w:hint="eastAsia" w:ascii="宋体" w:hAnsi="宋体" w:eastAsia="宋体" w:cs="宋体"/>
          <w:b/>
          <w:bCs/>
          <w:sz w:val="30"/>
          <w:szCs w:val="30"/>
        </w:rPr>
        <w:t>XXXX</w:t>
      </w:r>
    </w:p>
    <w:p w14:paraId="03E92F4C">
      <w:pPr>
        <w:rPr>
          <w:rFonts w:hint="eastAsia" w:ascii="宋体" w:hAnsi="宋体" w:eastAsia="宋体" w:cs="宋体"/>
          <w:b/>
        </w:rPr>
      </w:pPr>
    </w:p>
    <w:p w14:paraId="3D7CFAC7">
      <w:pPr>
        <w:rPr>
          <w:rFonts w:hint="eastAsia" w:ascii="宋体" w:hAnsi="宋体" w:eastAsia="宋体" w:cs="宋体"/>
          <w:b/>
        </w:rPr>
      </w:pPr>
    </w:p>
    <w:p w14:paraId="62206F82">
      <w:pPr>
        <w:rPr>
          <w:rFonts w:hint="eastAsia" w:ascii="宋体" w:hAnsi="宋体" w:eastAsia="宋体" w:cs="宋体"/>
          <w:b/>
        </w:rPr>
      </w:pPr>
    </w:p>
    <w:p w14:paraId="1BC40F6A">
      <w:pPr>
        <w:rPr>
          <w:rFonts w:hint="eastAsia" w:ascii="宋体" w:hAnsi="宋体" w:eastAsia="宋体" w:cs="宋体"/>
          <w:b/>
        </w:rPr>
      </w:pPr>
    </w:p>
    <w:p w14:paraId="0481DCCF">
      <w:pPr>
        <w:rPr>
          <w:rFonts w:hint="eastAsia" w:ascii="宋体" w:hAnsi="宋体" w:eastAsia="宋体" w:cs="宋体"/>
          <w:b/>
        </w:rPr>
      </w:pPr>
    </w:p>
    <w:p w14:paraId="13355E66">
      <w:pPr>
        <w:rPr>
          <w:rFonts w:hint="eastAsia" w:ascii="宋体" w:hAnsi="宋体" w:eastAsia="宋体" w:cs="宋体"/>
          <w:b/>
        </w:rPr>
      </w:pPr>
    </w:p>
    <w:p w14:paraId="47B898E4">
      <w:pPr>
        <w:rPr>
          <w:rFonts w:hint="eastAsia" w:ascii="宋体" w:hAnsi="宋体" w:eastAsia="宋体" w:cs="宋体"/>
          <w:b/>
          <w:sz w:val="48"/>
          <w:szCs w:val="48"/>
        </w:rPr>
      </w:pPr>
    </w:p>
    <w:p w14:paraId="74C07686">
      <w:pPr>
        <w:pStyle w:val="3"/>
        <w:rPr>
          <w:rFonts w:hint="eastAsia" w:ascii="宋体" w:hAnsi="宋体" w:eastAsia="宋体" w:cs="宋体"/>
        </w:rPr>
      </w:pPr>
    </w:p>
    <w:p w14:paraId="7CBE9AE6">
      <w:pPr>
        <w:spacing w:line="360" w:lineRule="auto"/>
        <w:ind w:left="1401" w:leftChars="667" w:firstLine="735" w:firstLineChars="200"/>
        <w:rPr>
          <w:rFonts w:hint="eastAsia" w:ascii="宋体" w:hAnsi="宋体" w:eastAsia="宋体" w:cs="宋体"/>
          <w:b/>
          <w:spacing w:val="23"/>
          <w:sz w:val="32"/>
          <w:szCs w:val="32"/>
        </w:rPr>
      </w:pPr>
      <w:r>
        <w:rPr>
          <w:rFonts w:hint="eastAsia" w:ascii="宋体" w:hAnsi="宋体" w:eastAsia="宋体" w:cs="宋体"/>
          <w:b/>
          <w:spacing w:val="23"/>
          <w:sz w:val="32"/>
          <w:szCs w:val="32"/>
        </w:rPr>
        <w:t>包    号：</w:t>
      </w:r>
      <w:r>
        <w:rPr>
          <w:rFonts w:hint="eastAsia" w:ascii="宋体" w:hAnsi="宋体" w:eastAsia="宋体" w:cs="宋体"/>
          <w:spacing w:val="23"/>
          <w:sz w:val="32"/>
          <w:szCs w:val="32"/>
          <w:u w:val="single"/>
        </w:rPr>
        <w:t></w:t>
      </w:r>
    </w:p>
    <w:p w14:paraId="262EBF68">
      <w:pPr>
        <w:spacing w:line="360" w:lineRule="auto"/>
        <w:ind w:left="1464" w:hanging="1469" w:hangingChars="400"/>
        <w:jc w:val="center"/>
        <w:rPr>
          <w:rFonts w:hint="eastAsia" w:ascii="宋体" w:hAnsi="宋体" w:eastAsia="宋体" w:cs="宋体"/>
          <w:b/>
          <w:spacing w:val="23"/>
          <w:sz w:val="32"/>
          <w:szCs w:val="32"/>
        </w:rPr>
      </w:pPr>
      <w:r>
        <w:rPr>
          <w:rFonts w:hint="eastAsia" w:ascii="宋体" w:hAnsi="宋体" w:eastAsia="宋体" w:cs="宋体"/>
          <w:b/>
          <w:spacing w:val="23"/>
          <w:sz w:val="32"/>
          <w:szCs w:val="32"/>
        </w:rPr>
        <w:t>采购人(甲方)：</w:t>
      </w:r>
      <w:r>
        <w:rPr>
          <w:rFonts w:hint="eastAsia" w:ascii="宋体" w:hAnsi="宋体" w:eastAsia="宋体" w:cs="宋体"/>
          <w:spacing w:val="23"/>
          <w:sz w:val="32"/>
          <w:szCs w:val="32"/>
          <w:u w:val="single"/>
        </w:rPr>
        <w:t></w:t>
      </w:r>
    </w:p>
    <w:p w14:paraId="3B7FFD83">
      <w:pPr>
        <w:spacing w:line="360" w:lineRule="auto"/>
        <w:ind w:left="1464" w:hanging="1469" w:hangingChars="400"/>
        <w:jc w:val="center"/>
        <w:rPr>
          <w:rFonts w:hint="eastAsia" w:ascii="宋体" w:hAnsi="宋体" w:eastAsia="宋体" w:cs="宋体"/>
          <w:spacing w:val="23"/>
          <w:sz w:val="32"/>
          <w:szCs w:val="32"/>
          <w:u w:val="single"/>
        </w:rPr>
      </w:pPr>
      <w:r>
        <w:rPr>
          <w:rFonts w:hint="eastAsia" w:ascii="宋体" w:hAnsi="宋体" w:eastAsia="宋体" w:cs="宋体"/>
          <w:b/>
          <w:spacing w:val="23"/>
          <w:sz w:val="32"/>
          <w:szCs w:val="32"/>
        </w:rPr>
        <w:t>投标人(</w:t>
      </w:r>
      <w:r>
        <w:rPr>
          <w:rFonts w:hint="eastAsia" w:ascii="宋体" w:hAnsi="宋体" w:eastAsia="宋体" w:cs="宋体"/>
          <w:b/>
          <w:spacing w:val="23"/>
          <w:sz w:val="32"/>
          <w:szCs w:val="32"/>
        </w:rPr>
        <w:fldChar w:fldCharType="begin"/>
      </w:r>
      <w:r>
        <w:rPr>
          <w:rFonts w:hint="eastAsia" w:ascii="宋体" w:hAnsi="宋体" w:eastAsia="宋体" w:cs="宋体"/>
          <w:b/>
          <w:spacing w:val="23"/>
          <w:sz w:val="32"/>
          <w:szCs w:val="32"/>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spacing w:val="23"/>
          <w:sz w:val="32"/>
          <w:szCs w:val="32"/>
        </w:rPr>
        <w:fldChar w:fldCharType="separate"/>
      </w:r>
      <w:r>
        <w:rPr>
          <w:rFonts w:hint="eastAsia" w:ascii="宋体" w:hAnsi="宋体" w:eastAsia="宋体" w:cs="宋体"/>
          <w:b/>
          <w:spacing w:val="23"/>
          <w:sz w:val="32"/>
          <w:szCs w:val="32"/>
        </w:rPr>
        <w:t>乙方</w:t>
      </w:r>
      <w:r>
        <w:rPr>
          <w:rFonts w:hint="eastAsia" w:ascii="宋体" w:hAnsi="宋体" w:eastAsia="宋体" w:cs="宋体"/>
          <w:b/>
          <w:spacing w:val="23"/>
          <w:sz w:val="32"/>
          <w:szCs w:val="32"/>
        </w:rPr>
        <w:fldChar w:fldCharType="end"/>
      </w:r>
      <w:r>
        <w:rPr>
          <w:rFonts w:hint="eastAsia" w:ascii="宋体" w:hAnsi="宋体" w:eastAsia="宋体" w:cs="宋体"/>
          <w:b/>
          <w:spacing w:val="23"/>
          <w:sz w:val="32"/>
          <w:szCs w:val="32"/>
        </w:rPr>
        <w:t>)：</w:t>
      </w:r>
      <w:r>
        <w:rPr>
          <w:rFonts w:hint="eastAsia" w:ascii="宋体" w:hAnsi="宋体" w:eastAsia="宋体" w:cs="宋体"/>
          <w:spacing w:val="23"/>
          <w:sz w:val="32"/>
          <w:szCs w:val="32"/>
          <w:u w:val="single"/>
        </w:rPr>
        <w:t></w:t>
      </w:r>
    </w:p>
    <w:p w14:paraId="62760D8C">
      <w:pPr>
        <w:spacing w:line="500" w:lineRule="atLeast"/>
        <w:jc w:val="center"/>
        <w:rPr>
          <w:rFonts w:hint="eastAsia" w:ascii="宋体" w:hAnsi="宋体" w:eastAsia="宋体" w:cs="宋体"/>
          <w:b/>
          <w:spacing w:val="23"/>
          <w:sz w:val="32"/>
          <w:szCs w:val="32"/>
        </w:rPr>
      </w:pPr>
      <w:r>
        <w:rPr>
          <w:rFonts w:hint="eastAsia" w:ascii="宋体" w:hAnsi="宋体" w:eastAsia="宋体" w:cs="宋体"/>
          <w:b/>
          <w:spacing w:val="23"/>
          <w:sz w:val="32"/>
          <w:szCs w:val="32"/>
        </w:rPr>
        <w:t>签订时间：</w:t>
      </w:r>
      <w:r>
        <w:rPr>
          <w:rFonts w:hint="eastAsia" w:ascii="宋体" w:hAnsi="宋体" w:eastAsia="宋体" w:cs="宋体"/>
          <w:spacing w:val="23"/>
          <w:sz w:val="32"/>
          <w:szCs w:val="32"/>
          <w:u w:val="single"/>
        </w:rPr>
        <w:t></w:t>
      </w:r>
      <w:r>
        <w:rPr>
          <w:rFonts w:hint="eastAsia" w:ascii="宋体" w:hAnsi="宋体" w:eastAsia="宋体" w:cs="宋体"/>
          <w:b/>
          <w:spacing w:val="23"/>
          <w:sz w:val="32"/>
          <w:szCs w:val="32"/>
        </w:rPr>
        <w:t>年</w:t>
      </w:r>
      <w:r>
        <w:rPr>
          <w:rFonts w:hint="eastAsia" w:ascii="宋体" w:hAnsi="宋体" w:eastAsia="宋体" w:cs="宋体"/>
          <w:spacing w:val="23"/>
          <w:sz w:val="32"/>
          <w:szCs w:val="32"/>
          <w:u w:val="single"/>
        </w:rPr>
        <w:t></w:t>
      </w:r>
      <w:r>
        <w:rPr>
          <w:rFonts w:hint="eastAsia" w:ascii="宋体" w:hAnsi="宋体" w:eastAsia="宋体" w:cs="宋体"/>
          <w:b/>
          <w:spacing w:val="23"/>
          <w:sz w:val="32"/>
          <w:szCs w:val="32"/>
        </w:rPr>
        <w:t>月</w:t>
      </w:r>
      <w:r>
        <w:rPr>
          <w:rFonts w:hint="eastAsia" w:ascii="宋体" w:hAnsi="宋体" w:eastAsia="宋体" w:cs="宋体"/>
          <w:spacing w:val="23"/>
          <w:sz w:val="32"/>
          <w:szCs w:val="32"/>
          <w:u w:val="single"/>
        </w:rPr>
        <w:t></w:t>
      </w:r>
      <w:r>
        <w:rPr>
          <w:rFonts w:hint="eastAsia" w:ascii="宋体" w:hAnsi="宋体" w:eastAsia="宋体" w:cs="宋体"/>
          <w:b/>
          <w:spacing w:val="23"/>
          <w:sz w:val="32"/>
          <w:szCs w:val="32"/>
        </w:rPr>
        <w:t>日</w:t>
      </w:r>
    </w:p>
    <w:p w14:paraId="51A44803">
      <w:pPr>
        <w:pStyle w:val="3"/>
        <w:rPr>
          <w:rFonts w:hint="eastAsia" w:ascii="宋体" w:hAnsi="宋体" w:eastAsia="宋体" w:cs="宋体"/>
        </w:rPr>
      </w:pPr>
    </w:p>
    <w:p w14:paraId="69C4764E">
      <w:pPr>
        <w:widowControl/>
        <w:spacing w:line="500" w:lineRule="exact"/>
        <w:ind w:firstLine="560" w:firstLineChars="200"/>
        <w:jc w:val="left"/>
        <w:rPr>
          <w:rFonts w:hint="eastAsia" w:ascii="宋体" w:hAnsi="宋体" w:eastAsia="宋体" w:cs="宋体"/>
          <w:bCs/>
          <w:sz w:val="28"/>
          <w:szCs w:val="28"/>
          <w:lang w:bidi="ar"/>
        </w:rPr>
      </w:pPr>
    </w:p>
    <w:p w14:paraId="5EDCCAE2">
      <w:pPr>
        <w:pStyle w:val="6"/>
        <w:numPr>
          <w:ilvl w:val="0"/>
          <w:numId w:val="0"/>
        </w:numPr>
        <w:ind w:leftChars="0"/>
        <w:rPr>
          <w:rFonts w:hint="eastAsia"/>
        </w:rPr>
      </w:pPr>
    </w:p>
    <w:p w14:paraId="626F8CC1">
      <w:pPr>
        <w:widowControl/>
        <w:spacing w:line="500" w:lineRule="exact"/>
        <w:ind w:firstLine="480" w:firstLineChars="200"/>
        <w:jc w:val="left"/>
        <w:rPr>
          <w:rFonts w:hint="eastAsia" w:ascii="宋体" w:hAnsi="宋体" w:eastAsia="宋体" w:cs="宋体"/>
          <w:bCs/>
          <w:sz w:val="24"/>
          <w:szCs w:val="24"/>
          <w:lang w:bidi="ar"/>
        </w:rPr>
      </w:pPr>
    </w:p>
    <w:p w14:paraId="076FB105">
      <w:pPr>
        <w:spacing w:line="360" w:lineRule="auto"/>
        <w:ind w:firstLine="480" w:firstLineChars="200"/>
        <w:contextualSpacing/>
        <w:rPr>
          <w:rFonts w:hint="eastAsia" w:ascii="宋体" w:hAnsi="宋体" w:cs="宋体"/>
          <w:kern w:val="0"/>
          <w:sz w:val="24"/>
        </w:rPr>
      </w:pPr>
    </w:p>
    <w:p w14:paraId="310BF40F">
      <w:pPr>
        <w:spacing w:line="360" w:lineRule="auto"/>
        <w:ind w:firstLine="480" w:firstLineChars="200"/>
        <w:contextualSpacing/>
        <w:rPr>
          <w:rFonts w:ascii="宋体" w:hAnsi="宋体" w:cs="宋体"/>
          <w:sz w:val="24"/>
        </w:rPr>
      </w:pPr>
      <w:r>
        <w:rPr>
          <w:rFonts w:hint="eastAsia" w:ascii="宋体" w:hAnsi="宋体" w:cs="宋体"/>
          <w:kern w:val="0"/>
          <w:sz w:val="24"/>
        </w:rPr>
        <w:t xml:space="preserve"> </w:t>
      </w:r>
    </w:p>
    <w:p w14:paraId="1CCD60E7">
      <w:pPr>
        <w:adjustRightInd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甲方：（</w:t>
      </w:r>
      <w:r>
        <w:rPr>
          <w:rFonts w:hint="eastAsia" w:ascii="宋体" w:hAnsi="宋体" w:eastAsia="宋体" w:cs="宋体"/>
          <w:color w:val="auto"/>
          <w:sz w:val="24"/>
          <w:szCs w:val="24"/>
        </w:rPr>
        <w:t>前款所称采购人）         住所：</w:t>
      </w:r>
    </w:p>
    <w:p w14:paraId="749EA9AA">
      <w:pPr>
        <w:adjustRightInd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乙方：</w:t>
      </w:r>
      <w:r>
        <w:rPr>
          <w:rFonts w:hint="eastAsia" w:ascii="宋体" w:hAnsi="宋体" w:eastAsia="宋体" w:cs="宋体"/>
          <w:color w:val="auto"/>
          <w:sz w:val="24"/>
          <w:szCs w:val="24"/>
        </w:rPr>
        <w:t>（前款所称</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住所：</w:t>
      </w:r>
    </w:p>
    <w:p w14:paraId="14F0D197">
      <w:pPr>
        <w:adjustRightInd w:val="0"/>
        <w:snapToGrid w:val="0"/>
        <w:spacing w:line="360" w:lineRule="auto"/>
        <w:ind w:firstLine="482" w:firstLineChars="200"/>
        <w:rPr>
          <w:rFonts w:hint="eastAsia" w:ascii="宋体" w:hAnsi="宋体" w:eastAsia="宋体" w:cs="宋体"/>
          <w:b/>
          <w:color w:val="auto"/>
          <w:sz w:val="24"/>
          <w:szCs w:val="24"/>
        </w:rPr>
      </w:pPr>
      <w:bookmarkStart w:id="0" w:name="_Toc19515384"/>
      <w:r>
        <w:rPr>
          <w:rFonts w:hint="eastAsia" w:ascii="宋体" w:hAnsi="宋体" w:eastAsia="宋体" w:cs="宋体"/>
          <w:b/>
          <w:color w:val="auto"/>
          <w:sz w:val="24"/>
          <w:szCs w:val="24"/>
        </w:rPr>
        <w:t>一、合同内容</w:t>
      </w:r>
    </w:p>
    <w:bookmarkEnd w:id="0"/>
    <w:p w14:paraId="1F81A1FB">
      <w:pPr>
        <w:adjustRightInd w:val="0"/>
        <w:snapToGrid w:val="0"/>
        <w:spacing w:line="360" w:lineRule="auto"/>
        <w:ind w:firstLine="482" w:firstLineChars="200"/>
        <w:rPr>
          <w:rFonts w:hint="eastAsia" w:ascii="宋体" w:hAnsi="宋体" w:eastAsia="宋体" w:cs="宋体"/>
          <w:b/>
          <w:color w:val="auto"/>
          <w:sz w:val="24"/>
          <w:szCs w:val="24"/>
        </w:rPr>
      </w:pPr>
      <w:bookmarkStart w:id="1" w:name="_Toc19515385"/>
      <w:r>
        <w:rPr>
          <w:rFonts w:hint="eastAsia" w:ascii="宋体" w:hAnsi="宋体" w:eastAsia="宋体" w:cs="宋体"/>
          <w:b/>
          <w:color w:val="auto"/>
          <w:sz w:val="24"/>
          <w:szCs w:val="24"/>
        </w:rPr>
        <w:t>二、合同价款</w:t>
      </w:r>
      <w:bookmarkEnd w:id="1"/>
    </w:p>
    <w:p w14:paraId="425C3985">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1、合同价款：单价合同</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3825"/>
        <w:gridCol w:w="2322"/>
      </w:tblGrid>
      <w:tr w14:paraId="43EFB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dxa"/>
            <w:noWrap w:val="0"/>
            <w:vAlign w:val="top"/>
          </w:tcPr>
          <w:p w14:paraId="1A2651A3">
            <w:pPr>
              <w:pStyle w:val="5"/>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序号</w:t>
            </w:r>
          </w:p>
        </w:tc>
        <w:tc>
          <w:tcPr>
            <w:tcW w:w="3825" w:type="dxa"/>
            <w:noWrap w:val="0"/>
            <w:vAlign w:val="top"/>
          </w:tcPr>
          <w:p w14:paraId="0BC4A675">
            <w:pPr>
              <w:pStyle w:val="5"/>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检测内容</w:t>
            </w:r>
          </w:p>
        </w:tc>
        <w:tc>
          <w:tcPr>
            <w:tcW w:w="2322" w:type="dxa"/>
            <w:noWrap w:val="0"/>
            <w:vAlign w:val="top"/>
          </w:tcPr>
          <w:p w14:paraId="420F6F0B">
            <w:pPr>
              <w:pStyle w:val="5"/>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单价（元）</w:t>
            </w:r>
          </w:p>
        </w:tc>
      </w:tr>
      <w:tr w14:paraId="2E730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dxa"/>
            <w:noWrap w:val="0"/>
            <w:vAlign w:val="top"/>
          </w:tcPr>
          <w:p w14:paraId="14C3B884">
            <w:pPr>
              <w:pStyle w:val="5"/>
              <w:rPr>
                <w:rFonts w:hint="eastAsia" w:ascii="宋体" w:hAnsi="宋体" w:eastAsia="宋体" w:cs="宋体"/>
                <w:color w:val="auto"/>
                <w:sz w:val="24"/>
                <w:szCs w:val="24"/>
              </w:rPr>
            </w:pPr>
          </w:p>
        </w:tc>
        <w:tc>
          <w:tcPr>
            <w:tcW w:w="3825" w:type="dxa"/>
            <w:noWrap w:val="0"/>
            <w:vAlign w:val="top"/>
          </w:tcPr>
          <w:p w14:paraId="6740CD96">
            <w:pPr>
              <w:pStyle w:val="5"/>
              <w:rPr>
                <w:rFonts w:hint="eastAsia" w:ascii="宋体" w:hAnsi="宋体" w:eastAsia="宋体" w:cs="宋体"/>
                <w:color w:val="auto"/>
                <w:sz w:val="24"/>
                <w:szCs w:val="24"/>
              </w:rPr>
            </w:pPr>
          </w:p>
        </w:tc>
        <w:tc>
          <w:tcPr>
            <w:tcW w:w="2322" w:type="dxa"/>
            <w:noWrap w:val="0"/>
            <w:vAlign w:val="top"/>
          </w:tcPr>
          <w:p w14:paraId="5632EC78">
            <w:pPr>
              <w:pStyle w:val="5"/>
              <w:rPr>
                <w:rFonts w:hint="eastAsia" w:ascii="宋体" w:hAnsi="宋体" w:eastAsia="宋体" w:cs="宋体"/>
                <w:color w:val="auto"/>
                <w:sz w:val="24"/>
                <w:szCs w:val="24"/>
              </w:rPr>
            </w:pPr>
          </w:p>
        </w:tc>
      </w:tr>
      <w:tr w14:paraId="257CB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dxa"/>
            <w:noWrap w:val="0"/>
            <w:vAlign w:val="top"/>
          </w:tcPr>
          <w:p w14:paraId="770500DB">
            <w:pPr>
              <w:pStyle w:val="5"/>
              <w:rPr>
                <w:rFonts w:hint="eastAsia" w:ascii="宋体" w:hAnsi="宋体" w:eastAsia="宋体" w:cs="宋体"/>
                <w:color w:val="auto"/>
                <w:sz w:val="24"/>
                <w:szCs w:val="24"/>
              </w:rPr>
            </w:pPr>
          </w:p>
        </w:tc>
        <w:tc>
          <w:tcPr>
            <w:tcW w:w="3825" w:type="dxa"/>
            <w:noWrap w:val="0"/>
            <w:vAlign w:val="top"/>
          </w:tcPr>
          <w:p w14:paraId="0AB7D2F6">
            <w:pPr>
              <w:pStyle w:val="5"/>
              <w:rPr>
                <w:rFonts w:hint="eastAsia" w:ascii="宋体" w:hAnsi="宋体" w:eastAsia="宋体" w:cs="宋体"/>
                <w:color w:val="auto"/>
                <w:sz w:val="24"/>
                <w:szCs w:val="24"/>
              </w:rPr>
            </w:pPr>
          </w:p>
        </w:tc>
        <w:tc>
          <w:tcPr>
            <w:tcW w:w="2322" w:type="dxa"/>
            <w:noWrap w:val="0"/>
            <w:vAlign w:val="top"/>
          </w:tcPr>
          <w:p w14:paraId="2FD59548">
            <w:pPr>
              <w:pStyle w:val="5"/>
              <w:rPr>
                <w:rFonts w:hint="eastAsia" w:ascii="宋体" w:hAnsi="宋体" w:eastAsia="宋体" w:cs="宋体"/>
                <w:color w:val="auto"/>
                <w:sz w:val="24"/>
                <w:szCs w:val="24"/>
              </w:rPr>
            </w:pPr>
          </w:p>
        </w:tc>
      </w:tr>
      <w:tr w14:paraId="7A6AC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dxa"/>
            <w:noWrap w:val="0"/>
            <w:vAlign w:val="top"/>
          </w:tcPr>
          <w:p w14:paraId="7392A166">
            <w:pPr>
              <w:pStyle w:val="5"/>
              <w:rPr>
                <w:rFonts w:hint="eastAsia" w:ascii="宋体" w:hAnsi="宋体" w:eastAsia="宋体" w:cs="宋体"/>
                <w:color w:val="auto"/>
                <w:sz w:val="24"/>
                <w:szCs w:val="24"/>
              </w:rPr>
            </w:pPr>
          </w:p>
        </w:tc>
        <w:tc>
          <w:tcPr>
            <w:tcW w:w="3825" w:type="dxa"/>
            <w:noWrap w:val="0"/>
            <w:vAlign w:val="top"/>
          </w:tcPr>
          <w:p w14:paraId="09E13510">
            <w:pPr>
              <w:pStyle w:val="5"/>
              <w:rPr>
                <w:rFonts w:hint="eastAsia" w:ascii="宋体" w:hAnsi="宋体" w:eastAsia="宋体" w:cs="宋体"/>
                <w:color w:val="auto"/>
                <w:sz w:val="24"/>
                <w:szCs w:val="24"/>
              </w:rPr>
            </w:pPr>
          </w:p>
        </w:tc>
        <w:tc>
          <w:tcPr>
            <w:tcW w:w="2322" w:type="dxa"/>
            <w:noWrap w:val="0"/>
            <w:vAlign w:val="top"/>
          </w:tcPr>
          <w:p w14:paraId="149B2AC8">
            <w:pPr>
              <w:pStyle w:val="5"/>
              <w:rPr>
                <w:rFonts w:hint="eastAsia" w:ascii="宋体" w:hAnsi="宋体" w:eastAsia="宋体" w:cs="宋体"/>
                <w:color w:val="auto"/>
                <w:sz w:val="24"/>
                <w:szCs w:val="24"/>
              </w:rPr>
            </w:pPr>
          </w:p>
        </w:tc>
      </w:tr>
      <w:tr w14:paraId="4DE30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dxa"/>
            <w:noWrap w:val="0"/>
            <w:vAlign w:val="top"/>
          </w:tcPr>
          <w:p w14:paraId="34764D3E">
            <w:pPr>
              <w:pStyle w:val="5"/>
              <w:rPr>
                <w:rFonts w:hint="eastAsia" w:ascii="宋体" w:hAnsi="宋体" w:eastAsia="宋体" w:cs="宋体"/>
                <w:color w:val="auto"/>
                <w:sz w:val="24"/>
                <w:szCs w:val="24"/>
              </w:rPr>
            </w:pPr>
          </w:p>
        </w:tc>
        <w:tc>
          <w:tcPr>
            <w:tcW w:w="3825" w:type="dxa"/>
            <w:noWrap w:val="0"/>
            <w:vAlign w:val="top"/>
          </w:tcPr>
          <w:p w14:paraId="628DE4BD">
            <w:pPr>
              <w:pStyle w:val="5"/>
              <w:rPr>
                <w:rFonts w:hint="eastAsia" w:ascii="宋体" w:hAnsi="宋体" w:eastAsia="宋体" w:cs="宋体"/>
                <w:color w:val="auto"/>
                <w:sz w:val="24"/>
                <w:szCs w:val="24"/>
              </w:rPr>
            </w:pPr>
          </w:p>
        </w:tc>
        <w:tc>
          <w:tcPr>
            <w:tcW w:w="2322" w:type="dxa"/>
            <w:noWrap w:val="0"/>
            <w:vAlign w:val="top"/>
          </w:tcPr>
          <w:p w14:paraId="4AAEDCCA">
            <w:pPr>
              <w:pStyle w:val="5"/>
              <w:rPr>
                <w:rFonts w:hint="eastAsia" w:ascii="宋体" w:hAnsi="宋体" w:eastAsia="宋体" w:cs="宋体"/>
                <w:color w:val="auto"/>
                <w:sz w:val="24"/>
                <w:szCs w:val="24"/>
              </w:rPr>
            </w:pPr>
          </w:p>
        </w:tc>
      </w:tr>
    </w:tbl>
    <w:p w14:paraId="1835B97B">
      <w:pPr>
        <w:pStyle w:val="5"/>
        <w:rPr>
          <w:rFonts w:hint="eastAsia" w:ascii="宋体" w:hAnsi="宋体" w:eastAsia="宋体" w:cs="宋体"/>
          <w:color w:val="auto"/>
          <w:sz w:val="24"/>
          <w:szCs w:val="24"/>
        </w:rPr>
      </w:pPr>
    </w:p>
    <w:p w14:paraId="76890BB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w:t>
      </w:r>
      <w:r>
        <w:rPr>
          <w:rFonts w:hint="eastAsia" w:ascii="宋体" w:hAnsi="宋体" w:eastAsia="宋体" w:cs="宋体"/>
          <w:color w:val="auto"/>
          <w:sz w:val="24"/>
          <w:szCs w:val="24"/>
          <w:lang w:val="en-US" w:eastAsia="zh-CN"/>
        </w:rPr>
        <w:t>单</w:t>
      </w:r>
      <w:r>
        <w:rPr>
          <w:rFonts w:hint="eastAsia" w:ascii="宋体" w:hAnsi="宋体" w:eastAsia="宋体" w:cs="宋体"/>
          <w:color w:val="auto"/>
          <w:sz w:val="24"/>
          <w:szCs w:val="24"/>
        </w:rPr>
        <w:t>价包括：合同范围规定的内容及其它相关服务所含的费用。</w:t>
      </w:r>
    </w:p>
    <w:p w14:paraId="2344C22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3、合同单价一次包死，不受市场价变化的影响。</w:t>
      </w:r>
      <w:bookmarkStart w:id="2" w:name="_Toc19515386"/>
    </w:p>
    <w:p w14:paraId="0F915FA7">
      <w:pPr>
        <w:adjustRightInd w:val="0"/>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三、合同结算</w:t>
      </w:r>
      <w:bookmarkEnd w:id="2"/>
    </w:p>
    <w:p w14:paraId="0059C6A1">
      <w:pPr>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1、资金支付条件及时间：</w:t>
      </w:r>
      <w:r>
        <w:rPr>
          <w:rFonts w:hint="eastAsia" w:ascii="宋体" w:hAnsi="宋体" w:eastAsia="宋体" w:cs="宋体"/>
          <w:color w:val="auto"/>
          <w:sz w:val="24"/>
          <w:szCs w:val="24"/>
          <w:highlight w:val="none"/>
          <w:lang w:val="en-US" w:eastAsia="zh-CN"/>
        </w:rPr>
        <w:t>合同签订后，甲方（采购方）将按照财政部门相关规定，在一个月内支付50 %合同价款。在项目实施结束后，乙方（供应商）向甲方提交所有抽测委托单和检测报告，甲方对服务内容进行评估验收后，于合同结束验收合格后一个月内支付剩余价款。服务费用为包干总价，不受市场价变化影响。</w:t>
      </w:r>
    </w:p>
    <w:p w14:paraId="6DE1CEE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、结算单位：由</w:t>
      </w:r>
      <w:r>
        <w:rPr>
          <w:rFonts w:hint="eastAsia" w:ascii="宋体" w:hAnsi="宋体" w:eastAsia="宋体" w:cs="宋体"/>
          <w:color w:val="auto"/>
          <w:sz w:val="24"/>
          <w:szCs w:val="24"/>
          <w:highlight w:val="none"/>
          <w:u w:val="single"/>
        </w:rPr>
        <w:t xml:space="preserve"> 采购人 </w:t>
      </w:r>
      <w:r>
        <w:rPr>
          <w:rFonts w:hint="eastAsia" w:ascii="宋体" w:hAnsi="宋体" w:eastAsia="宋体" w:cs="宋体"/>
          <w:color w:val="auto"/>
          <w:sz w:val="24"/>
          <w:szCs w:val="24"/>
          <w:highlight w:val="none"/>
        </w:rPr>
        <w:t>负责结算，乙方开具合同总价数的全额发票交采购人。</w:t>
      </w:r>
      <w:bookmarkStart w:id="3" w:name="_Toc19515387"/>
    </w:p>
    <w:p w14:paraId="03174D23">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四、履行期限、地点及方式:</w:t>
      </w:r>
      <w:bookmarkEnd w:id="3"/>
    </w:p>
    <w:p w14:paraId="2AA208D6">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1、履行期限：自合同签订之日起365个日历日</w:t>
      </w:r>
    </w:p>
    <w:p w14:paraId="3740BE7A">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2、地点：采购人指定地点</w:t>
      </w:r>
    </w:p>
    <w:p w14:paraId="14FD3843">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3、方式：</w:t>
      </w:r>
      <w:bookmarkStart w:id="4" w:name="_Toc19515388"/>
      <w:r>
        <w:rPr>
          <w:rFonts w:hint="eastAsia" w:ascii="宋体" w:hAnsi="宋体" w:eastAsia="宋体" w:cs="宋体"/>
          <w:color w:val="auto"/>
          <w:sz w:val="24"/>
          <w:szCs w:val="24"/>
        </w:rPr>
        <w:t>采购人指定方式</w:t>
      </w:r>
    </w:p>
    <w:bookmarkEnd w:id="4"/>
    <w:p w14:paraId="6C9972D7">
      <w:pPr>
        <w:adjustRightInd w:val="0"/>
        <w:snapToGrid w:val="0"/>
        <w:spacing w:line="360" w:lineRule="auto"/>
        <w:ind w:firstLine="482" w:firstLineChars="200"/>
        <w:rPr>
          <w:rFonts w:hint="eastAsia" w:ascii="宋体" w:hAnsi="宋体" w:eastAsia="宋体" w:cs="宋体"/>
          <w:color w:val="auto"/>
          <w:sz w:val="24"/>
          <w:szCs w:val="24"/>
        </w:rPr>
      </w:pPr>
      <w:bookmarkStart w:id="5" w:name="_Toc19515389"/>
      <w:r>
        <w:rPr>
          <w:rFonts w:hint="eastAsia" w:ascii="宋体" w:hAnsi="宋体" w:eastAsia="宋体" w:cs="宋体"/>
          <w:b/>
          <w:color w:val="auto"/>
          <w:sz w:val="24"/>
          <w:szCs w:val="24"/>
        </w:rPr>
        <w:t>五、</w:t>
      </w:r>
      <w:r>
        <w:rPr>
          <w:rFonts w:hint="eastAsia" w:ascii="宋体" w:hAnsi="宋体" w:eastAsia="宋体" w:cs="宋体"/>
          <w:b/>
          <w:bCs/>
          <w:color w:val="auto"/>
          <w:sz w:val="24"/>
          <w:szCs w:val="24"/>
        </w:rPr>
        <w:t>服务工作要求和</w:t>
      </w:r>
      <w:r>
        <w:rPr>
          <w:rFonts w:hint="eastAsia" w:ascii="宋体" w:hAnsi="宋体" w:eastAsia="宋体" w:cs="宋体"/>
          <w:b/>
          <w:color w:val="auto"/>
          <w:sz w:val="24"/>
          <w:szCs w:val="24"/>
        </w:rPr>
        <w:t>质量保证</w:t>
      </w:r>
      <w:bookmarkEnd w:id="5"/>
    </w:p>
    <w:p w14:paraId="7A5DCF33">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1、乙方</w:t>
      </w:r>
      <w:r>
        <w:rPr>
          <w:rFonts w:hint="eastAsia" w:ascii="宋体" w:hAnsi="宋体" w:eastAsia="宋体" w:cs="宋体"/>
          <w:color w:val="auto"/>
          <w:sz w:val="24"/>
          <w:szCs w:val="24"/>
        </w:rPr>
        <w:t>应依据国家有关规范和标准，对委托人送检的试块、试件进行科学检测，并于检测周期后的5个工作日内提交的检测报告。</w:t>
      </w:r>
    </w:p>
    <w:p w14:paraId="78F077B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一旦发现</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在检测中存在弄虚作假行为的，</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有权扣除相应检测费用，情节严重的，委托人有权中止委托检测工作，并依法追究责任。</w:t>
      </w:r>
      <w:r>
        <w:rPr>
          <w:rFonts w:hint="eastAsia" w:ascii="宋体" w:hAnsi="宋体" w:eastAsia="宋体" w:cs="宋体"/>
          <w:color w:val="auto"/>
          <w:sz w:val="24"/>
          <w:szCs w:val="24"/>
        </w:rPr>
        <w:tab/>
      </w:r>
      <w:bookmarkStart w:id="6" w:name="_Toc19515391"/>
    </w:p>
    <w:p w14:paraId="58E6E9B6">
      <w:pPr>
        <w:adjustRightInd w:val="0"/>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、甲方的权利和义务</w:t>
      </w:r>
    </w:p>
    <w:p w14:paraId="26EE4CC1">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1、甲方有权对合同规定范围内乙方的服务进行监督和检查，拥有监管权。甲方对不合理的部分有权下达整改通知书，并要求乙方限期整改。</w:t>
      </w:r>
    </w:p>
    <w:p w14:paraId="635A4A77">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2、负责检查监督乙方管理工作的实施及制度的执行情况。</w:t>
      </w:r>
    </w:p>
    <w:p w14:paraId="63A6B3FE">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3、根据本合同规定，按时向乙方支付应付费用。</w:t>
      </w:r>
    </w:p>
    <w:p w14:paraId="170F4414">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4、国家法律、法规所规定由甲方承担的其它责任。</w:t>
      </w:r>
    </w:p>
    <w:p w14:paraId="7D731C60">
      <w:pPr>
        <w:adjustRightInd w:val="0"/>
        <w:snapToGrid w:val="0"/>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七</w:t>
      </w:r>
      <w:r>
        <w:rPr>
          <w:rFonts w:hint="eastAsia" w:ascii="宋体" w:hAnsi="宋体" w:eastAsia="宋体" w:cs="宋体"/>
          <w:b/>
          <w:color w:val="auto"/>
          <w:sz w:val="24"/>
          <w:szCs w:val="24"/>
        </w:rPr>
        <w:t>、乙方的权利和义务</w:t>
      </w:r>
    </w:p>
    <w:p w14:paraId="412187E1">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1、对本合同规定的范围内的享有管理权及服务义务。</w:t>
      </w:r>
    </w:p>
    <w:p w14:paraId="0D949224">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2、及时向甲方通告本项目执行范围内有关的重大事项，及时处理出现的问题。</w:t>
      </w:r>
    </w:p>
    <w:p w14:paraId="7C2C04A8">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3、接受项目行业管理部门及政府有关部门的监督指导，接受甲方的监督。</w:t>
      </w:r>
    </w:p>
    <w:p w14:paraId="7B2BA058">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4、国家法律、法规所规定由乙方承担的其它责任。</w:t>
      </w:r>
    </w:p>
    <w:p w14:paraId="6632DC71">
      <w:pPr>
        <w:adjustRightInd w:val="0"/>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八</w:t>
      </w:r>
      <w:r>
        <w:rPr>
          <w:rFonts w:hint="eastAsia" w:ascii="宋体" w:hAnsi="宋体" w:eastAsia="宋体" w:cs="宋体"/>
          <w:b/>
          <w:color w:val="auto"/>
          <w:sz w:val="24"/>
          <w:szCs w:val="24"/>
        </w:rPr>
        <w:t>、验收</w:t>
      </w:r>
      <w:bookmarkEnd w:id="6"/>
      <w:r>
        <w:rPr>
          <w:rFonts w:hint="eastAsia" w:ascii="宋体" w:hAnsi="宋体" w:eastAsia="宋体" w:cs="宋体"/>
          <w:b/>
          <w:color w:val="auto"/>
          <w:sz w:val="24"/>
          <w:szCs w:val="24"/>
        </w:rPr>
        <w:t>要求</w:t>
      </w:r>
    </w:p>
    <w:p w14:paraId="5B2E5591">
      <w:pPr>
        <w:adjustRightInd w:val="0"/>
        <w:snapToGrid w:val="0"/>
        <w:spacing w:line="360" w:lineRule="auto"/>
        <w:ind w:firstLine="480" w:firstLineChars="200"/>
        <w:rPr>
          <w:rFonts w:hint="eastAsia" w:ascii="宋体" w:hAnsi="宋体" w:eastAsia="宋体" w:cs="宋体"/>
          <w:color w:val="auto"/>
          <w:sz w:val="24"/>
          <w:szCs w:val="24"/>
        </w:rPr>
      </w:pPr>
      <w:bookmarkStart w:id="7" w:name="_Toc19515392"/>
      <w:r>
        <w:rPr>
          <w:rFonts w:hint="eastAsia" w:ascii="宋体" w:hAnsi="宋体" w:eastAsia="宋体" w:cs="宋体"/>
          <w:color w:val="auto"/>
          <w:sz w:val="24"/>
          <w:szCs w:val="24"/>
        </w:rPr>
        <w:t>1、由</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对</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进行服务质量验收。</w:t>
      </w:r>
    </w:p>
    <w:p w14:paraId="4F923772">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2、验收依据：</w:t>
      </w:r>
    </w:p>
    <w:p w14:paraId="08A38C12">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2-1、合同文本、合同附件、竞争性磋商文件、竞争性磋商响应文件。</w:t>
      </w:r>
    </w:p>
    <w:p w14:paraId="05973A7A">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2-2、国内相应的标准、规范。</w:t>
      </w:r>
    </w:p>
    <w:p w14:paraId="768F9A7A">
      <w:pPr>
        <w:adjustRightInd w:val="0"/>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九</w:t>
      </w:r>
      <w:r>
        <w:rPr>
          <w:rFonts w:hint="eastAsia" w:ascii="宋体" w:hAnsi="宋体" w:eastAsia="宋体" w:cs="宋体"/>
          <w:b/>
          <w:color w:val="auto"/>
          <w:sz w:val="24"/>
          <w:szCs w:val="24"/>
        </w:rPr>
        <w:t>、违约责任</w:t>
      </w:r>
      <w:bookmarkEnd w:id="7"/>
    </w:p>
    <w:p w14:paraId="215EC4A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1、违约责任按《中华人民共和国民法典》处理中的相关条款执行。</w:t>
      </w:r>
    </w:p>
    <w:p w14:paraId="52C14816">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2、未按合同要求提供服务或服务质量不能满足本次采购要求，甲方会同监督机构、采购代理机构有权终止合同和对乙方违约行为进行追究，同时按政府采购法的有关规定进行相应的处罚。</w:t>
      </w:r>
    </w:p>
    <w:p w14:paraId="5F619BE4">
      <w:pPr>
        <w:adjustRightInd w:val="0"/>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十、不可抗力事件处理</w:t>
      </w:r>
    </w:p>
    <w:p w14:paraId="2CEC97F7">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5FB3CEEA">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3D7D305D">
      <w:pPr>
        <w:adjustRightInd w:val="0"/>
        <w:snapToGrid w:val="0"/>
        <w:spacing w:line="360" w:lineRule="auto"/>
        <w:ind w:firstLine="482" w:firstLineChars="200"/>
        <w:rPr>
          <w:rFonts w:hint="eastAsia" w:ascii="宋体" w:hAnsi="宋体" w:eastAsia="宋体" w:cs="宋体"/>
          <w:b/>
          <w:color w:val="auto"/>
          <w:sz w:val="24"/>
          <w:szCs w:val="24"/>
        </w:rPr>
      </w:pPr>
      <w:bookmarkStart w:id="8" w:name="_Toc19515393"/>
      <w:r>
        <w:rPr>
          <w:rFonts w:hint="eastAsia" w:ascii="宋体" w:hAnsi="宋体" w:eastAsia="宋体" w:cs="宋体"/>
          <w:b/>
          <w:color w:val="auto"/>
          <w:sz w:val="24"/>
          <w:szCs w:val="24"/>
        </w:rPr>
        <w:t>十</w:t>
      </w: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rPr>
        <w:t>、合同组成</w:t>
      </w:r>
      <w:bookmarkEnd w:id="8"/>
    </w:p>
    <w:p w14:paraId="0AF3E00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1、成交通知书</w:t>
      </w:r>
    </w:p>
    <w:p w14:paraId="458A2B15">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2、合同文件</w:t>
      </w:r>
    </w:p>
    <w:p w14:paraId="7B88D133">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3、国家相关规范及标准</w:t>
      </w:r>
    </w:p>
    <w:p w14:paraId="21DC13EC">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、竞争性磋商文件</w:t>
      </w:r>
    </w:p>
    <w:p w14:paraId="0E58E517">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、磋商响应文件</w:t>
      </w:r>
    </w:p>
    <w:p w14:paraId="56AF9DEB">
      <w:pPr>
        <w:adjustRightInd w:val="0"/>
        <w:snapToGrid w:val="0"/>
        <w:spacing w:line="360" w:lineRule="auto"/>
        <w:ind w:firstLine="482" w:firstLineChars="200"/>
        <w:rPr>
          <w:rFonts w:hint="eastAsia" w:ascii="宋体" w:hAnsi="宋体" w:eastAsia="宋体" w:cs="宋体"/>
          <w:b/>
          <w:color w:val="auto"/>
          <w:sz w:val="24"/>
          <w:szCs w:val="24"/>
        </w:rPr>
      </w:pPr>
      <w:bookmarkStart w:id="9" w:name="_Toc19515394"/>
      <w:r>
        <w:rPr>
          <w:rFonts w:hint="eastAsia" w:ascii="宋体" w:hAnsi="宋体" w:eastAsia="宋体" w:cs="宋体"/>
          <w:b/>
          <w:color w:val="auto"/>
          <w:sz w:val="24"/>
          <w:szCs w:val="24"/>
        </w:rPr>
        <w:t>十</w:t>
      </w: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、解决争议的方法</w:t>
      </w:r>
      <w:bookmarkEnd w:id="9"/>
    </w:p>
    <w:p w14:paraId="605CB1A3">
      <w:pPr>
        <w:widowControl/>
        <w:autoSpaceDE w:val="0"/>
        <w:autoSpaceDN w:val="0"/>
        <w:snapToGrid w:val="0"/>
        <w:spacing w:line="360" w:lineRule="auto"/>
        <w:ind w:right="-110" w:firstLine="480" w:firstLineChars="200"/>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凡因本合同引起的或与本合同有关的争议，双方应友好协商解决。协商不成时，双方均同意采用以下第（ </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 xml:space="preserve"> ）种争议解决方式：</w:t>
      </w:r>
    </w:p>
    <w:p w14:paraId="73223082">
      <w:pPr>
        <w:widowControl/>
        <w:autoSpaceDE w:val="0"/>
        <w:autoSpaceDN w:val="0"/>
        <w:snapToGrid w:val="0"/>
        <w:spacing w:line="360" w:lineRule="auto"/>
        <w:ind w:right="-110" w:firstLine="480" w:firstLineChars="200"/>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（1）甲、乙双方均同意向（甲方所在地人民法院）提起诉讼。</w:t>
      </w:r>
    </w:p>
    <w:p w14:paraId="364E3462">
      <w:pPr>
        <w:widowControl/>
        <w:autoSpaceDE w:val="0"/>
        <w:autoSpaceDN w:val="0"/>
        <w:snapToGrid w:val="0"/>
        <w:spacing w:line="360" w:lineRule="auto"/>
        <w:ind w:right="-110" w:firstLine="480" w:firstLineChars="200"/>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（2）甲、乙双方均同意向（</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"http://www.baidu.com/s?wd=%E4%BB%B2%E8%A3%81%E5%A7%94%E5%91%98%E4%BC%9A&amp;tn=SE_PcZhidaonwhc_ngpagmjz&amp;rsv_dl=gh_pc_zhidao"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仲裁委员会</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）提起仲裁。</w:t>
      </w:r>
    </w:p>
    <w:p w14:paraId="0CB2FF2F">
      <w:pPr>
        <w:adjustRightInd w:val="0"/>
        <w:snapToGrid w:val="0"/>
        <w:spacing w:line="360" w:lineRule="auto"/>
        <w:ind w:firstLine="482" w:firstLineChars="200"/>
        <w:rPr>
          <w:rFonts w:hint="eastAsia" w:ascii="宋体" w:hAnsi="宋体" w:eastAsia="宋体" w:cs="宋体"/>
          <w:b/>
          <w:color w:val="auto"/>
          <w:sz w:val="24"/>
          <w:szCs w:val="24"/>
        </w:rPr>
      </w:pPr>
      <w:bookmarkStart w:id="10" w:name="_Toc19515395"/>
      <w:r>
        <w:rPr>
          <w:rFonts w:hint="eastAsia" w:ascii="宋体" w:hAnsi="宋体" w:eastAsia="宋体" w:cs="宋体"/>
          <w:b/>
          <w:color w:val="auto"/>
          <w:sz w:val="24"/>
          <w:szCs w:val="24"/>
        </w:rPr>
        <w:t>十</w:t>
      </w:r>
      <w:r>
        <w:rPr>
          <w:rFonts w:hint="eastAsia" w:hAnsi="宋体" w:eastAsia="宋体" w:cs="宋体"/>
          <w:b/>
          <w:color w:val="auto"/>
          <w:sz w:val="24"/>
          <w:szCs w:val="24"/>
          <w:lang w:eastAsia="zh-CN"/>
        </w:rPr>
        <w:t>三</w:t>
      </w:r>
      <w:r>
        <w:rPr>
          <w:rFonts w:hint="eastAsia" w:ascii="宋体" w:hAnsi="宋体" w:eastAsia="宋体" w:cs="宋体"/>
          <w:b/>
          <w:color w:val="auto"/>
          <w:sz w:val="24"/>
          <w:szCs w:val="24"/>
        </w:rPr>
        <w:t>、合同生效及其它</w:t>
      </w:r>
      <w:bookmarkEnd w:id="10"/>
    </w:p>
    <w:p w14:paraId="46A058DA">
      <w:pPr>
        <w:adjustRightInd w:val="0"/>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kern w:val="0"/>
          <w:sz w:val="24"/>
          <w:szCs w:val="24"/>
        </w:rPr>
        <w:t>1、合同未尽事宜、由甲、乙双方协商，作为合同补充，与原合同具有同等法律效力。</w:t>
      </w:r>
    </w:p>
    <w:p w14:paraId="45E19979">
      <w:pPr>
        <w:adjustRightInd w:val="0"/>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kern w:val="0"/>
          <w:sz w:val="24"/>
          <w:szCs w:val="24"/>
        </w:rPr>
        <w:t>2、 本合同一式</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份，甲方、乙方双方分别执</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份，</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备案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份。</w:t>
      </w:r>
    </w:p>
    <w:p w14:paraId="6A9008D3">
      <w:pPr>
        <w:adjustRightInd w:val="0"/>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kern w:val="0"/>
          <w:sz w:val="24"/>
          <w:szCs w:val="24"/>
        </w:rPr>
        <w:t>3、合同经甲乙双方盖章、签字后生效，合同签订地点为</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5F51C781">
      <w:pPr>
        <w:adjustRightInd w:val="0"/>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kern w:val="0"/>
          <w:sz w:val="24"/>
          <w:szCs w:val="24"/>
        </w:rPr>
        <w:t>4、生效时间：    年    月    日</w:t>
      </w:r>
    </w:p>
    <w:p w14:paraId="36FAA790">
      <w:pPr>
        <w:widowControl/>
        <w:tabs>
          <w:tab w:val="left" w:pos="8391"/>
        </w:tabs>
        <w:autoSpaceDE w:val="0"/>
        <w:autoSpaceDN w:val="0"/>
        <w:snapToGrid w:val="0"/>
        <w:spacing w:line="360" w:lineRule="auto"/>
        <w:ind w:right="-69" w:firstLine="840" w:firstLineChars="350"/>
        <w:textAlignment w:val="bottom"/>
        <w:rPr>
          <w:rFonts w:hint="eastAsia" w:ascii="宋体" w:hAnsi="宋体" w:eastAsia="宋体" w:cs="宋体"/>
          <w:color w:val="auto"/>
          <w:kern w:val="0"/>
          <w:sz w:val="24"/>
          <w:szCs w:val="24"/>
        </w:rPr>
      </w:pPr>
    </w:p>
    <w:tbl>
      <w:tblPr>
        <w:tblStyle w:val="7"/>
        <w:tblW w:w="0" w:type="auto"/>
        <w:jc w:val="center"/>
        <w:tblLayout w:type="fixed"/>
        <w:tblCellMar>
          <w:top w:w="0" w:type="dxa"/>
          <w:left w:w="108" w:type="dxa"/>
          <w:bottom w:w="0" w:type="dxa"/>
          <w:right w:w="108" w:type="dxa"/>
        </w:tblCellMar>
      </w:tblPr>
      <w:tblGrid>
        <w:gridCol w:w="4643"/>
        <w:gridCol w:w="4643"/>
      </w:tblGrid>
      <w:tr w14:paraId="40974C14">
        <w:tblPrEx>
          <w:tblCellMar>
            <w:top w:w="0" w:type="dxa"/>
            <w:left w:w="108" w:type="dxa"/>
            <w:bottom w:w="0" w:type="dxa"/>
            <w:right w:w="108" w:type="dxa"/>
          </w:tblCellMar>
        </w:tblPrEx>
        <w:trPr>
          <w:jc w:val="center"/>
        </w:trPr>
        <w:tc>
          <w:tcPr>
            <w:tcW w:w="4643" w:type="dxa"/>
            <w:noWrap w:val="0"/>
            <w:vAlign w:val="top"/>
          </w:tcPr>
          <w:p w14:paraId="42989BBB">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甲方名称</w:t>
            </w:r>
            <w:r>
              <w:rPr>
                <w:rFonts w:hint="eastAsia" w:ascii="宋体" w:hAnsi="宋体" w:eastAsia="宋体" w:cs="宋体"/>
                <w:color w:val="auto"/>
                <w:spacing w:val="-20"/>
                <w:kern w:val="0"/>
                <w:sz w:val="24"/>
                <w:szCs w:val="24"/>
              </w:rPr>
              <w:t>（盖章）</w:t>
            </w:r>
            <w:r>
              <w:rPr>
                <w:rFonts w:hint="eastAsia" w:ascii="宋体" w:hAnsi="宋体" w:eastAsia="宋体" w:cs="宋体"/>
                <w:color w:val="auto"/>
                <w:kern w:val="0"/>
                <w:sz w:val="24"/>
                <w:szCs w:val="24"/>
              </w:rPr>
              <w:t>：</w:t>
            </w:r>
          </w:p>
          <w:p w14:paraId="08B36604">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地址：</w:t>
            </w:r>
          </w:p>
          <w:p w14:paraId="31B6EFAD">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代表人（签字）：</w:t>
            </w:r>
          </w:p>
          <w:p w14:paraId="56000035">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电话：</w:t>
            </w:r>
          </w:p>
          <w:p w14:paraId="47E66779">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开户银行：</w:t>
            </w:r>
          </w:p>
          <w:p w14:paraId="1B3767C8">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帐号：</w:t>
            </w:r>
          </w:p>
        </w:tc>
        <w:tc>
          <w:tcPr>
            <w:tcW w:w="4643" w:type="dxa"/>
            <w:noWrap w:val="0"/>
            <w:vAlign w:val="top"/>
          </w:tcPr>
          <w:p w14:paraId="08FF1A62">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乙方名称</w:t>
            </w:r>
            <w:r>
              <w:rPr>
                <w:rFonts w:hint="eastAsia" w:ascii="宋体" w:hAnsi="宋体" w:eastAsia="宋体" w:cs="宋体"/>
                <w:color w:val="auto"/>
                <w:spacing w:val="-20"/>
                <w:kern w:val="0"/>
                <w:sz w:val="24"/>
                <w:szCs w:val="24"/>
              </w:rPr>
              <w:t>（盖章）</w:t>
            </w:r>
            <w:r>
              <w:rPr>
                <w:rFonts w:hint="eastAsia" w:ascii="宋体" w:hAnsi="宋体" w:eastAsia="宋体" w:cs="宋体"/>
                <w:color w:val="auto"/>
                <w:kern w:val="0"/>
                <w:sz w:val="24"/>
                <w:szCs w:val="24"/>
              </w:rPr>
              <w:t>:</w:t>
            </w:r>
          </w:p>
          <w:p w14:paraId="761897DD">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地址：</w:t>
            </w:r>
          </w:p>
          <w:p w14:paraId="091F9752">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代表人（签字）：</w:t>
            </w:r>
          </w:p>
          <w:p w14:paraId="6197CABD">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电话：</w:t>
            </w:r>
          </w:p>
          <w:p w14:paraId="1BB725B1">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开户银行：</w:t>
            </w:r>
          </w:p>
          <w:p w14:paraId="7AC9CF4D">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帐号：</w:t>
            </w:r>
          </w:p>
        </w:tc>
      </w:tr>
    </w:tbl>
    <w:p w14:paraId="138354F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6"/>
      <w:lvlText w:val="%1."/>
      <w:lvlJc w:val="left"/>
      <w:pPr>
        <w:tabs>
          <w:tab w:val="left" w:pos="1200"/>
        </w:tabs>
        <w:ind w:left="12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E6631D"/>
    <w:rsid w:val="3CE66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9"/>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Normal Indent"/>
    <w:basedOn w:val="1"/>
    <w:uiPriority w:val="0"/>
    <w:pPr>
      <w:ind w:firstLine="420"/>
    </w:pPr>
    <w:rPr>
      <w:szCs w:val="21"/>
    </w:rPr>
  </w:style>
  <w:style w:type="paragraph" w:styleId="4">
    <w:name w:val="index 5"/>
    <w:basedOn w:val="1"/>
    <w:next w:val="1"/>
    <w:semiHidden/>
    <w:qFormat/>
    <w:uiPriority w:val="0"/>
    <w:pPr>
      <w:ind w:left="800" w:leftChars="800"/>
    </w:pPr>
  </w:style>
  <w:style w:type="paragraph" w:styleId="5">
    <w:name w:val="Body Text"/>
    <w:basedOn w:val="1"/>
    <w:next w:val="1"/>
    <w:qFormat/>
    <w:uiPriority w:val="99"/>
    <w:pPr>
      <w:jc w:val="left"/>
    </w:pPr>
    <w:rPr>
      <w:rFonts w:ascii="Copperplate Gothic Bold" w:hAnsi="Copperplate Gothic Bold"/>
      <w:kern w:val="0"/>
      <w:sz w:val="20"/>
      <w:szCs w:val="20"/>
    </w:rPr>
  </w:style>
  <w:style w:type="paragraph" w:styleId="6">
    <w:name w:val="footnote text"/>
    <w:basedOn w:val="1"/>
    <w:next w:val="4"/>
    <w:qFormat/>
    <w:uiPriority w:val="0"/>
    <w:pPr>
      <w:numPr>
        <w:ilvl w:val="0"/>
        <w:numId w:val="1"/>
      </w:numPr>
      <w:tabs>
        <w:tab w:val="clear" w:pos="1200"/>
      </w:tabs>
      <w:snapToGrid w:val="0"/>
      <w:ind w:left="0" w:firstLine="0"/>
      <w:jc w:val="left"/>
    </w:pPr>
    <w:rPr>
      <w:sz w:val="18"/>
      <w:szCs w:val="18"/>
    </w:rPr>
  </w:style>
  <w:style w:type="character" w:customStyle="1" w:styleId="9">
    <w:name w:val="NormalCharacter"/>
    <w:link w:val="1"/>
    <w:autoRedefine/>
    <w:semiHidden/>
    <w:qFormat/>
    <w:uiPriority w:val="0"/>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2025-06-05T09:23:00Z</dcterms:created>
  <dc:creator>华中秦集团</dc:creator>
  <cp:lastModifiedBy>华中秦集团</cp:lastModifiedBy>
  <dcterms:modified xsi:type="dcterms:W3CDTF">2025-06-05T09:24:03Z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E23960C88E0D441FA5BE3111F7AC0652_11</vt:lpwstr>
  </property>
  <property fmtid="{D5CDD505-2E9C-101B-9397-08002B2CF9AE}" pid="4" name="KSOTemplateDocerSaveRecord">
    <vt:lpwstr>eyJoZGlkIjoiOWRjMWEwOWMyZDRiM2Q4MjJmMDdhYjkwYTZkM2I2YjAiLCJ1c2VySWQiOiIxNTQ5MzM1ODc0In0=</vt:lpwstr>
  </property>
</Properties>
</file>