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3EF74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响应偏离表（格式）</w:t>
      </w:r>
    </w:p>
    <w:p w14:paraId="3A544993">
      <w:pPr>
        <w:pageBreakBefore w:val="0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服务内容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响应偏离表</w:t>
      </w:r>
    </w:p>
    <w:p w14:paraId="48890D53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3"/>
        <w:tblpPr w:leftFromText="180" w:rightFromText="180" w:vertAnchor="text" w:horzAnchor="page" w:tblpX="1278" w:tblpY="328"/>
        <w:tblOverlap w:val="never"/>
        <w:tblW w:w="966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72"/>
        <w:gridCol w:w="2791"/>
        <w:gridCol w:w="1279"/>
        <w:gridCol w:w="1134"/>
      </w:tblGrid>
      <w:tr w14:paraId="7804E4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8A02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40" w:leftChars="1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125C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3811DB4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技术需求</w:t>
            </w: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E0A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0F8624C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技术响应</w:t>
            </w: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B96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DF6E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 明</w:t>
            </w:r>
          </w:p>
        </w:tc>
      </w:tr>
      <w:tr w14:paraId="1E0AE5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997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41B5B5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51D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15AA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7236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D335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B7A5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0F6DB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D2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E29E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D97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D4D63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9046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8AEE55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909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68D1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5999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D751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D196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1BD8FE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A3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F100A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72E1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C3CFD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993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E40E3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5644A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001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92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AF0D5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1659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13AE846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3260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765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B27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4EEAA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F22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26C467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C71C8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EB51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81D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691E1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EDD3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566B592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1E06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9EA8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7F438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091DC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A1E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6C83CD0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2F9B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B1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5A27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A09A0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703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80D81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F04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AF3C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53A40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C26A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928E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2F267D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BA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C865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819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ECA7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A39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33F31FF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07F4D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186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50C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AE997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AC5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4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top"/>
          </w:tcPr>
          <w:p w14:paraId="73CAB8D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7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AB3A9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77F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CB6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1FEE233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响应偏离表须根据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技术参数与性能要求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，进行逐条响应；如有漏报、瞒报竞争性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文件所要求的性能指标等将视为没有实质性响应竞争性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6115EC96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日 期：</w:t>
      </w:r>
    </w:p>
    <w:p w14:paraId="3B23932E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GoBack"/>
      <w:bookmarkEnd w:id="0"/>
    </w:p>
    <w:p w14:paraId="4F8A41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70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70E957B988AE4E3EA171D2495F669CED_12</vt:lpwstr>
  </property>
</Properties>
</file>