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17A28">
      <w:pPr>
        <w:pStyle w:val="2"/>
        <w:pageBreakBefore w:val="0"/>
        <w:kinsoku/>
        <w:overflowPunct/>
        <w:topLinePunct w:val="0"/>
        <w:bidi w:val="0"/>
        <w:spacing w:before="20" w:after="20"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451513341"/>
      <w:bookmarkStart w:id="1" w:name="_Toc505605885"/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2.磋商报价一览表（格式）</w:t>
      </w:r>
      <w:bookmarkEnd w:id="0"/>
      <w:bookmarkEnd w:id="1"/>
    </w:p>
    <w:p w14:paraId="1D5D049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磋商报价一览表</w:t>
      </w:r>
    </w:p>
    <w:p w14:paraId="4168B708">
      <w:pPr>
        <w:pageBreakBefore w:val="0"/>
        <w:kinsoku/>
        <w:overflowPunct/>
        <w:topLinePunct w:val="0"/>
        <w:bidi w:val="0"/>
        <w:spacing w:line="360" w:lineRule="auto"/>
        <w:ind w:left="210" w:leftChars="10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816B316">
      <w:pPr>
        <w:pageBreakBefore w:val="0"/>
        <w:kinsoku/>
        <w:overflowPunct/>
        <w:topLinePunct w:val="0"/>
        <w:bidi w:val="0"/>
        <w:spacing w:line="360" w:lineRule="auto"/>
        <w:ind w:firstLine="120" w:firstLineChars="5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</w:rPr>
        <w:t xml:space="preserve">                                                   </w:t>
      </w:r>
    </w:p>
    <w:tbl>
      <w:tblPr>
        <w:tblStyle w:val="5"/>
        <w:tblW w:w="135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593"/>
        <w:gridCol w:w="1714"/>
        <w:gridCol w:w="2014"/>
        <w:gridCol w:w="2250"/>
        <w:gridCol w:w="2189"/>
      </w:tblGrid>
      <w:tr w14:paraId="0332D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2837" w:type="dxa"/>
            <w:noWrap w:val="0"/>
            <w:vAlign w:val="center"/>
          </w:tcPr>
          <w:p w14:paraId="5467BE7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right="143" w:rightChars="68" w:firstLine="118" w:firstLineChars="4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2593" w:type="dxa"/>
            <w:noWrap w:val="0"/>
            <w:vAlign w:val="center"/>
          </w:tcPr>
          <w:p w14:paraId="6CFB6EB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磋商总价</w:t>
            </w:r>
          </w:p>
          <w:p w14:paraId="7B17428C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（人民币:元）</w:t>
            </w: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8E84C7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0F7E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质保期</w:t>
            </w: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9A665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 w:firstLine="241" w:firstLineChars="10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工程质量</w:t>
            </w: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3BF3C0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eastAsia="zh-CN"/>
              </w:rPr>
              <w:t>其他说明事项</w:t>
            </w:r>
          </w:p>
        </w:tc>
      </w:tr>
      <w:tr w14:paraId="70D111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2837" w:type="dxa"/>
            <w:vMerge w:val="restart"/>
            <w:noWrap w:val="0"/>
            <w:vAlign w:val="center"/>
          </w:tcPr>
          <w:p w14:paraId="025A7359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93" w:type="dxa"/>
            <w:noWrap w:val="0"/>
            <w:vAlign w:val="center"/>
          </w:tcPr>
          <w:p w14:paraId="6829969B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20A03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479D5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848E6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51ED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0A07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2837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F2422">
            <w:pPr>
              <w:pageBreakBefore w:val="0"/>
              <w:kinsoku/>
              <w:overflowPunct/>
              <w:topLinePunct w:val="0"/>
              <w:bidi w:val="0"/>
              <w:spacing w:line="360" w:lineRule="auto"/>
              <w:ind w:left="210" w:leftChars="10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6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39507988">
            <w:pPr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 xml:space="preserve"> 总价（大写）：</w:t>
            </w:r>
          </w:p>
        </w:tc>
      </w:tr>
    </w:tbl>
    <w:p w14:paraId="7C95E381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注：1、本表价格应按磋商总价（元）填写，同时应保证投标文件的正、副本中仍有此表且一致。</w:t>
      </w:r>
    </w:p>
    <w:p w14:paraId="32ECD879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2、此表中任何信息与磋商文件其他处不一致时，以此表为准。</w:t>
      </w:r>
    </w:p>
    <w:p w14:paraId="72D3692E">
      <w:pPr>
        <w:pageBreakBefore w:val="0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iCs/>
          <w:color w:val="000000"/>
          <w:sz w:val="24"/>
          <w:szCs w:val="24"/>
          <w:highlight w:val="none"/>
        </w:rPr>
        <w:t>3、报价精确到小数点后两位。</w:t>
      </w:r>
    </w:p>
    <w:p w14:paraId="7FB16736">
      <w:pPr>
        <w:pStyle w:val="7"/>
        <w:pageBreakBefore w:val="0"/>
        <w:kinsoku/>
        <w:overflowPunct/>
        <w:topLinePunct w:val="0"/>
        <w:bidi w:val="0"/>
        <w:spacing w:line="360" w:lineRule="auto"/>
        <w:ind w:firstLine="6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2BD4FB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法定代表人或被授权人签字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（单位公章）                       日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</w:t>
      </w:r>
    </w:p>
    <w:p w14:paraId="49CD6FD1">
      <w:bookmarkStart w:id="2" w:name="_GoBack"/>
      <w:bookmarkEnd w:id="2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B9137">
    <w:pPr>
      <w:spacing w:line="280" w:lineRule="exact"/>
      <w:jc w:val="center"/>
      <w:rPr>
        <w:rFonts w:hint="eastAsia"/>
        <w:b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A2CE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A2CE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A6C9C">
    <w:pPr>
      <w:pStyle w:val="4"/>
      <w:rPr>
        <w:rFonts w:hint="eastAsia"/>
      </w:rPr>
    </w:pPr>
    <w:r>
      <w:rPr>
        <w:rFonts w:hint="eastAsia" w:ascii="宋体" w:hAnsi="宋体"/>
        <w:lang w:eastAsia="zh-CN"/>
      </w:rPr>
      <w:t>西安市市政设施管理中心</w:t>
    </w:r>
    <w:r>
      <w:rPr>
        <w:rFonts w:hint="eastAsia" w:ascii="宋体" w:hAnsi="宋体"/>
      </w:rPr>
      <w:t>装配式公路钢桥模型采购项目竞争性磋商文件</w:t>
    </w:r>
    <w:r>
      <w:rPr>
        <w:rFonts w:hint="eastAsia"/>
      </w:rPr>
      <w:t xml:space="preserve">                                                    项目编号：ZBZBF-2020-1222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FB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kern w:val="1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Calibri Light" w:hAnsi="Calibri Light" w:eastAsia="Calibri Light" w:cs="Times New Roman"/>
      <w:b/>
      <w:bCs/>
      <w:kern w:val="1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tabs>
        <w:tab w:val="center" w:pos="4153"/>
        <w:tab w:val="right" w:pos="8306"/>
      </w:tabs>
      <w:jc w:val="center"/>
    </w:pPr>
    <w:rPr>
      <w:rFonts w:ascii="Calibri" w:hAnsi="Calibri" w:cs="Times New Roman" w:eastAsiaTheme="minorEastAsia"/>
      <w:kern w:val="1"/>
      <w:sz w:val="18"/>
      <w:szCs w:val="18"/>
      <w:lang w:val="en-US" w:eastAsia="zh-CN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翠</cp:lastModifiedBy>
  <dcterms:modified xsi:type="dcterms:W3CDTF">2025-06-03T11:47:35Z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eyJoZGlkIjoiY2UyYzYzZmY3ZTA0ZmM3ZjFiZWNmNDNmMzZiMGFiMDQiLCJ1c2VySWQiOiI1NDUxMTcyMDIifQ==</vt:lpwstr>
  </property>
  <property fmtid="{D5CDD505-2E9C-101B-9397-08002B2CF9AE}" pid="4" name="ICV">
    <vt:lpwstr>F8E7D322D1264661BF9839E62EA9C9DB_12</vt:lpwstr>
  </property>
</Properties>
</file>