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版本号：YC255280o1（CGQ）20250605001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2025年城市桥梁健康监测系统运维服务项目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YC255280o1（CGQ）</w:t>
      </w:r>
      <w:r>
        <w:br/>
      </w:r>
      <w:r>
        <w:br/>
      </w:r>
      <w:r>
        <w:br/>
      </w:r>
    </w:p>
    <w:p>
      <w:pPr>
        <w:pStyle w:val="null3"/>
        <w:jc w:val="center"/>
        <w:outlineLvl w:val="2"/>
      </w:pPr>
      <w:r>
        <w:rPr>
          <w:rFonts w:ascii="仿宋_GB2312" w:hAnsi="仿宋_GB2312" w:cs="仿宋_GB2312" w:eastAsia="仿宋_GB2312"/>
          <w:sz w:val="28"/>
          <w:b/>
        </w:rPr>
        <w:t>西安市市政设施管理中心</w:t>
      </w:r>
    </w:p>
    <w:p>
      <w:pPr>
        <w:pStyle w:val="null3"/>
        <w:jc w:val="center"/>
        <w:outlineLvl w:val="2"/>
      </w:pPr>
      <w:r>
        <w:rPr>
          <w:rFonts w:ascii="仿宋_GB2312" w:hAnsi="仿宋_GB2312" w:cs="仿宋_GB2312" w:eastAsia="仿宋_GB2312"/>
          <w:sz w:val="28"/>
          <w:b/>
        </w:rPr>
        <w:t>亿诚建设项目管理有限公司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亿诚建设项目管理有限公司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西安市市政设施管理中心</w:t>
      </w:r>
      <w:r>
        <w:rPr>
          <w:rFonts w:ascii="仿宋_GB2312" w:hAnsi="仿宋_GB2312" w:cs="仿宋_GB2312" w:eastAsia="仿宋_GB2312"/>
        </w:rPr>
        <w:t>委托，拟对</w:t>
      </w:r>
      <w:r>
        <w:rPr>
          <w:rFonts w:ascii="仿宋_GB2312" w:hAnsi="仿宋_GB2312" w:cs="仿宋_GB2312" w:eastAsia="仿宋_GB2312"/>
        </w:rPr>
        <w:t>2025年城市桥梁健康监测系统运维服务项目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YC255280o1（CGQ）</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2025年城市桥梁健康监测系统运维服务项目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北三环六村堡立交桥和南二环长安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1、资质证书：供应商须具备交通运输部公路工程试验检测综合甲级或桥梁隧道工程专项资质，且同时具备省级及以上质量技术监督部门颁发的CMA 计量认证证书</w:t>
      </w:r>
    </w:p>
    <w:p>
      <w:pPr>
        <w:pStyle w:val="null3"/>
      </w:pPr>
      <w:r>
        <w:rPr>
          <w:rFonts w:ascii="仿宋_GB2312" w:hAnsi="仿宋_GB2312" w:cs="仿宋_GB2312" w:eastAsia="仿宋_GB2312"/>
        </w:rPr>
        <w:t>2、项目负责人：供应商拟派项目负责人须具有桥梁专业或相近专业的高级职称，同时须具有交通运输部颁发的桥梁试验检测工程师资格证书；</w:t>
      </w:r>
    </w:p>
    <w:p>
      <w:pPr>
        <w:pStyle w:val="null3"/>
      </w:pPr>
      <w:r>
        <w:rPr>
          <w:rFonts w:ascii="仿宋_GB2312" w:hAnsi="仿宋_GB2312" w:cs="仿宋_GB2312" w:eastAsia="仿宋_GB2312"/>
        </w:rPr>
        <w:t>3、法定代表人身份证复印件/法定代表人授权委托书：1)法定代表人参加磋商的，提供法定代表人身份证复印件；2)法定代表人委托代理人参加磋商的，提供法定代表人授权委托书（附法定代表人身份证复印件及被授权委托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西安市市政设施管理中心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西安市二环北路西段29号文景路立交西北角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西安市市政设施管理中心经办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029-87314906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亿诚建设项目管理有限公司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陕西省西安市高新区丈八五路高科尚都ONE尚城A座10F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17782558318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代理服务费收费标准：参照《国家计委关于印发&lt;招标代理服务收费管理暂行办法&gt;的通知》（计价格[2002]1980号）规定标准下浮10%按标段收取。 开户名称：亿诚建设项目管理有限公司 开户银行：中国民生银行股份有限公司西安吉祥路支行 账号:699295538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西安市市政设施管理中心</w:t>
      </w:r>
      <w:r>
        <w:rPr>
          <w:rFonts w:ascii="仿宋_GB2312" w:hAnsi="仿宋_GB2312" w:cs="仿宋_GB2312" w:eastAsia="仿宋_GB2312"/>
        </w:rPr>
        <w:t>和</w:t>
      </w:r>
      <w:r>
        <w:rPr>
          <w:rFonts w:ascii="仿宋_GB2312" w:hAnsi="仿宋_GB2312" w:cs="仿宋_GB2312" w:eastAsia="仿宋_GB2312"/>
        </w:rPr>
        <w:t>亿诚建设项目管理有限公司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西安市市政设施管理中心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亿诚建设项目管理有限公司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西安市市政设施管理中心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亿诚建设项目管理有限公司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亿诚建设项目管理有限公司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联系人：刘峰</w:t>
      </w:r>
    </w:p>
    <w:p>
      <w:pPr>
        <w:pStyle w:val="null3"/>
      </w:pPr>
      <w:r>
        <w:rPr>
          <w:rFonts w:ascii="仿宋_GB2312" w:hAnsi="仿宋_GB2312" w:cs="仿宋_GB2312" w:eastAsia="仿宋_GB2312"/>
        </w:rPr>
        <w:t>联系电话：17782558318</w:t>
      </w:r>
    </w:p>
    <w:p>
      <w:pPr>
        <w:pStyle w:val="null3"/>
      </w:pPr>
      <w:r>
        <w:rPr>
          <w:rFonts w:ascii="仿宋_GB2312" w:hAnsi="仿宋_GB2312" w:cs="仿宋_GB2312" w:eastAsia="仿宋_GB2312"/>
        </w:rPr>
        <w:t>地址：陕西省西安市高新区丈八五路高科尚都ONE尚城A座10F</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北三环六村堡立交桥和南二环长安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早发现、早预警、早处置”。v</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2025年城市桥梁健康监测系统运维费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标的名称：2025年城市桥梁健康监测系统运维费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ind w:firstLine="480"/>
              <w:jc w:val="both"/>
            </w:pPr>
            <w:r>
              <w:rPr>
                <w:rFonts w:ascii="仿宋_GB2312" w:hAnsi="仿宋_GB2312" w:cs="仿宋_GB2312" w:eastAsia="仿宋_GB2312"/>
                <w:sz w:val="24"/>
              </w:rPr>
              <w:t>本项目对北三环六村堡立交桥和南二环长安路立交桥的结构在线监测设备定期检查、保养；对出现的设备损坏和失效进行及时的维修和更换；协同系统软件和硬件设备的调试和运营；对监测数据的值守查看、分析、研判，定期编制监测报告；监测数据及设备异常的应急检查和处置，确保监测设备正常工作、监测数据有效、做到桥梁运行隐患</w:t>
            </w:r>
            <w:r>
              <w:rPr>
                <w:rFonts w:ascii="仿宋_GB2312" w:hAnsi="仿宋_GB2312" w:cs="仿宋_GB2312" w:eastAsia="仿宋_GB2312"/>
                <w:sz w:val="24"/>
              </w:rPr>
              <w:t>“早发现、早预警、早处置”</w:t>
            </w:r>
          </w:p>
          <w:p>
            <w:pPr>
              <w:pStyle w:val="null3"/>
              <w:jc w:val="both"/>
            </w:pPr>
            <w:r>
              <w:rPr>
                <w:rFonts w:ascii="仿宋_GB2312" w:hAnsi="仿宋_GB2312" w:cs="仿宋_GB2312" w:eastAsia="仿宋_GB2312"/>
                <w:sz w:val="24"/>
              </w:rPr>
              <w:t>二、监测总体要求</w:t>
            </w:r>
          </w:p>
          <w:p>
            <w:pPr>
              <w:pStyle w:val="null3"/>
              <w:jc w:val="both"/>
            </w:pPr>
            <w:r>
              <w:rPr>
                <w:rFonts w:ascii="仿宋_GB2312" w:hAnsi="仿宋_GB2312" w:cs="仿宋_GB2312" w:eastAsia="仿宋_GB2312"/>
                <w:sz w:val="24"/>
              </w:rPr>
              <w:t>1 、监测目的</w:t>
            </w:r>
          </w:p>
          <w:p>
            <w:pPr>
              <w:pStyle w:val="null3"/>
              <w:ind w:firstLine="504"/>
              <w:jc w:val="both"/>
            </w:pPr>
            <w:r>
              <w:rPr>
                <w:rFonts w:ascii="仿宋_GB2312" w:hAnsi="仿宋_GB2312" w:cs="仿宋_GB2312" w:eastAsia="仿宋_GB2312"/>
                <w:sz w:val="24"/>
              </w:rPr>
              <w:t>1）建立桥梁全寿命期的数字化、信息化“档案”，实现桥梁信息化、智能化管理。</w:t>
            </w:r>
          </w:p>
          <w:p>
            <w:pPr>
              <w:pStyle w:val="null3"/>
              <w:ind w:firstLine="504"/>
              <w:jc w:val="both"/>
            </w:pPr>
            <w:r>
              <w:rPr>
                <w:rFonts w:ascii="仿宋_GB2312" w:hAnsi="仿宋_GB2312" w:cs="仿宋_GB2312" w:eastAsia="仿宋_GB2312"/>
                <w:sz w:val="24"/>
              </w:rPr>
              <w:t>2）结合人工巡检和定期检测，及时发现桥梁安全隐患并预警，有助于确保桥梁运营安全。</w:t>
            </w:r>
          </w:p>
          <w:p>
            <w:pPr>
              <w:pStyle w:val="null3"/>
              <w:ind w:firstLine="504"/>
              <w:jc w:val="both"/>
            </w:pPr>
            <w:r>
              <w:rPr>
                <w:rFonts w:ascii="仿宋_GB2312" w:hAnsi="仿宋_GB2312" w:cs="仿宋_GB2312" w:eastAsia="仿宋_GB2312"/>
                <w:sz w:val="24"/>
              </w:rPr>
              <w:t>3）掌控运营期桥梁的结构运营状态及其发展演化趋势，为制定桥梁管养对策提供数据支持，降低桥梁的运营成本，有助于延长桥梁服役寿命。</w:t>
            </w:r>
          </w:p>
          <w:p>
            <w:pPr>
              <w:pStyle w:val="null3"/>
              <w:jc w:val="both"/>
            </w:pPr>
            <w:r>
              <w:rPr>
                <w:rFonts w:ascii="仿宋_GB2312" w:hAnsi="仿宋_GB2312" w:cs="仿宋_GB2312" w:eastAsia="仿宋_GB2312"/>
                <w:sz w:val="24"/>
              </w:rPr>
              <w:t>2、六村堡立交桥梁概况</w:t>
            </w:r>
          </w:p>
          <w:p>
            <w:pPr>
              <w:pStyle w:val="null3"/>
              <w:ind w:firstLine="480"/>
              <w:jc w:val="both"/>
            </w:pPr>
            <w:r>
              <w:rPr>
                <w:rFonts w:ascii="仿宋_GB2312" w:hAnsi="仿宋_GB2312" w:cs="仿宋_GB2312" w:eastAsia="仿宋_GB2312"/>
                <w:sz w:val="24"/>
              </w:rPr>
              <w:t>六村堡立交北辅道桥起点桩号</w:t>
            </w:r>
            <w:r>
              <w:rPr>
                <w:rFonts w:ascii="仿宋_GB2312" w:hAnsi="仿宋_GB2312" w:cs="仿宋_GB2312" w:eastAsia="仿宋_GB2312"/>
                <w:sz w:val="24"/>
              </w:rPr>
              <w:t>K0+966.516,终点桩号K1+644.000,跨径布置为2x(3x25)米现浇预应力混凝土连续箱梁+(35+36.64)米连续钢箱梁+(25+27+25)米+5x(3x25)米现浇预应力混凝土连续箱梁，全长679.72米:南辅道桥起点桩号K1+019.078，终点桩亏K1+650.022，跨径布置为2x(3x25)米现浇预应力凝土连续箱梁+(42.5+35)米连续钢箱梁+2x(3x25)米+(3x25+20.2)米+2x(3x25)米现浇预应力混凝土连续箱梁，全长622.78米。桥面宽度为0.25m(护栏)+2.75m(人行道)+4m(非机动车道)+7.5m(机动车道)+0.5m(防撞护栏)。该桥建成于2009年。</w:t>
            </w:r>
          </w:p>
          <w:p>
            <w:pPr>
              <w:pStyle w:val="null3"/>
              <w:ind w:firstLine="480"/>
              <w:jc w:val="both"/>
            </w:pPr>
            <w:r>
              <w:rPr>
                <w:rFonts w:ascii="仿宋_GB2312" w:hAnsi="仿宋_GB2312" w:cs="仿宋_GB2312" w:eastAsia="仿宋_GB2312"/>
                <w:sz w:val="24"/>
              </w:rPr>
              <w:t>(1)上部结构</w:t>
            </w:r>
          </w:p>
          <w:p>
            <w:pPr>
              <w:pStyle w:val="null3"/>
              <w:ind w:firstLine="480"/>
              <w:jc w:val="both"/>
            </w:pPr>
            <w:r>
              <w:rPr>
                <w:rFonts w:ascii="仿宋_GB2312" w:hAnsi="仿宋_GB2312" w:cs="仿宋_GB2312" w:eastAsia="仿宋_GB2312"/>
                <w:sz w:val="24"/>
              </w:rPr>
              <w:t>南北辅道桥采用现浇预应力混凝土连续箱梁，单箱三室，室宽</w:t>
            </w:r>
            <w:r>
              <w:rPr>
                <w:rFonts w:ascii="仿宋_GB2312" w:hAnsi="仿宋_GB2312" w:cs="仿宋_GB2312" w:eastAsia="仿宋_GB2312"/>
                <w:sz w:val="24"/>
              </w:rPr>
              <w:t>3.6m、3.7m，梁高1.4m。顶板全宽15m,翼缘板悬臂长2m,顶板厚22cm,底板厚20~40cm,腹板厚40~60cm，端横梁厚1.5m中横梁厚2m。南北辅道桥跨越绕城高速公路时采用两跨连续钢箱梁，跨径组合分别为北辅道(35+36.64)m+南辅道(42.5+35)m。主梁桥面宽度15m，悬臂长2m,北辅道箱梁高1.4m，南辅道箱梁高1.6m。</w:t>
            </w:r>
          </w:p>
          <w:p>
            <w:pPr>
              <w:pStyle w:val="null3"/>
              <w:ind w:firstLine="480"/>
              <w:jc w:val="both"/>
            </w:pPr>
            <w:r>
              <w:rPr>
                <w:rFonts w:ascii="仿宋_GB2312" w:hAnsi="仿宋_GB2312" w:cs="仿宋_GB2312" w:eastAsia="仿宋_GB2312"/>
                <w:sz w:val="24"/>
              </w:rPr>
              <w:t>(2)下部结构</w:t>
            </w:r>
          </w:p>
          <w:p>
            <w:pPr>
              <w:pStyle w:val="null3"/>
              <w:ind w:firstLine="480"/>
              <w:jc w:val="both"/>
            </w:pPr>
            <w:r>
              <w:rPr>
                <w:rFonts w:ascii="仿宋_GB2312" w:hAnsi="仿宋_GB2312" w:cs="仿宋_GB2312" w:eastAsia="仿宋_GB2312"/>
                <w:sz w:val="24"/>
              </w:rPr>
              <w:t>下部结构采用双柱式墩、柱式台及肋板台，桩基础。柱直径为</w:t>
            </w:r>
            <w:r>
              <w:rPr>
                <w:rFonts w:ascii="仿宋_GB2312" w:hAnsi="仿宋_GB2312" w:cs="仿宋_GB2312" w:eastAsia="仿宋_GB2312"/>
                <w:sz w:val="24"/>
              </w:rPr>
              <w:t>1.3、1.4米,基础采用直径1.5米的桩基，桩基均采用钻孔灌注桩，最大长60m。</w:t>
            </w:r>
          </w:p>
          <w:p>
            <w:pPr>
              <w:pStyle w:val="null3"/>
              <w:ind w:firstLine="480"/>
              <w:jc w:val="both"/>
            </w:pPr>
            <w:r>
              <w:rPr>
                <w:rFonts w:ascii="仿宋_GB2312" w:hAnsi="仿宋_GB2312" w:cs="仿宋_GB2312" w:eastAsia="仿宋_GB2312"/>
                <w:sz w:val="24"/>
              </w:rPr>
              <w:t>(3)桥面系</w:t>
            </w:r>
          </w:p>
          <w:p>
            <w:pPr>
              <w:pStyle w:val="null3"/>
              <w:ind w:firstLine="480"/>
              <w:jc w:val="both"/>
            </w:pPr>
            <w:r>
              <w:rPr>
                <w:rFonts w:ascii="仿宋_GB2312" w:hAnsi="仿宋_GB2312" w:cs="仿宋_GB2312" w:eastAsia="仿宋_GB2312"/>
                <w:sz w:val="24"/>
              </w:rPr>
              <w:t>桥面铺装采用</w:t>
            </w:r>
            <w:r>
              <w:rPr>
                <w:rFonts w:ascii="仿宋_GB2312" w:hAnsi="仿宋_GB2312" w:cs="仿宋_GB2312" w:eastAsia="仿宋_GB2312"/>
                <w:sz w:val="24"/>
              </w:rPr>
              <w:t>5cm厚博尼维中粒式沥青混凝土和8cm厚防水微膨胀混凝土。桥梁支座采用盆式橡胶支座和板式橡胶支座。伸缩缝采用FM1-80型型钢仲缩缝，防撞护栏上伸缩缝采用SDI-H80型</w:t>
            </w:r>
          </w:p>
          <w:p>
            <w:pPr>
              <w:pStyle w:val="null3"/>
              <w:ind w:firstLine="480"/>
              <w:jc w:val="both"/>
            </w:pPr>
            <w:r>
              <w:rPr>
                <w:rFonts w:ascii="仿宋_GB2312" w:hAnsi="仿宋_GB2312" w:cs="仿宋_GB2312" w:eastAsia="仿宋_GB2312"/>
                <w:sz w:val="24"/>
              </w:rPr>
              <w:t>技术标准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(1)设计荷载:城-A级，挂-120验算:</w:t>
            </w:r>
          </w:p>
          <w:p>
            <w:pPr>
              <w:pStyle w:val="null3"/>
              <w:ind w:firstLine="480"/>
              <w:jc w:val="both"/>
            </w:pPr>
            <w:r>
              <w:rPr>
                <w:rFonts w:ascii="仿宋_GB2312" w:hAnsi="仿宋_GB2312" w:cs="仿宋_GB2312" w:eastAsia="仿宋_GB2312"/>
                <w:sz w:val="24"/>
              </w:rPr>
              <w:t>(2)计算行车速度:40Km/h;</w:t>
            </w:r>
          </w:p>
          <w:p>
            <w:pPr>
              <w:pStyle w:val="null3"/>
              <w:ind w:firstLine="480"/>
              <w:jc w:val="both"/>
            </w:pPr>
            <w:r>
              <w:rPr>
                <w:rFonts w:ascii="仿宋_GB2312" w:hAnsi="仿宋_GB2312" w:cs="仿宋_GB2312" w:eastAsia="仿宋_GB2312"/>
                <w:sz w:val="24"/>
              </w:rPr>
              <w:t>(3)桥梁宽度:辅道桥宽15m,跨线桥宽5米:</w:t>
            </w:r>
          </w:p>
          <w:p>
            <w:pPr>
              <w:pStyle w:val="null3"/>
              <w:ind w:firstLine="480"/>
              <w:jc w:val="both"/>
            </w:pPr>
            <w:r>
              <w:rPr>
                <w:rFonts w:ascii="仿宋_GB2312" w:hAnsi="仿宋_GB2312" w:cs="仿宋_GB2312" w:eastAsia="仿宋_GB2312"/>
                <w:sz w:val="24"/>
              </w:rPr>
              <w:t>(4)最大超高:2%:</w:t>
            </w:r>
          </w:p>
          <w:p>
            <w:pPr>
              <w:pStyle w:val="null3"/>
              <w:ind w:firstLine="480"/>
              <w:jc w:val="both"/>
            </w:pPr>
            <w:r>
              <w:rPr>
                <w:rFonts w:ascii="仿宋_GB2312" w:hAnsi="仿宋_GB2312" w:cs="仿宋_GB2312" w:eastAsia="仿宋_GB2312"/>
                <w:sz w:val="24"/>
              </w:rPr>
              <w:t>(5)抗震设防烈度: 8度，地震动峰值加速度，0.20g:</w:t>
            </w:r>
          </w:p>
          <w:p>
            <w:pPr>
              <w:pStyle w:val="null3"/>
              <w:ind w:firstLine="480"/>
              <w:jc w:val="both"/>
            </w:pPr>
            <w:r>
              <w:rPr>
                <w:rFonts w:ascii="仿宋_GB2312" w:hAnsi="仿宋_GB2312" w:cs="仿宋_GB2312" w:eastAsia="仿宋_GB2312"/>
                <w:sz w:val="24"/>
              </w:rPr>
              <w:t>(6)桥下净空:机动车道处H&gt;5.0m,辅道处H34.5m。</w:t>
            </w:r>
          </w:p>
          <w:p>
            <w:pPr>
              <w:pStyle w:val="null3"/>
              <w:ind w:firstLine="480"/>
              <w:jc w:val="both"/>
            </w:pPr>
            <w:r>
              <w:rPr>
                <w:rFonts w:ascii="仿宋_GB2312" w:hAnsi="仿宋_GB2312" w:cs="仿宋_GB2312" w:eastAsia="仿宋_GB2312"/>
                <w:sz w:val="24"/>
              </w:rPr>
              <w:t>3.南二环长安路立交</w:t>
            </w:r>
          </w:p>
          <w:p>
            <w:pPr>
              <w:pStyle w:val="null3"/>
              <w:ind w:firstLine="480"/>
              <w:jc w:val="both"/>
            </w:pPr>
            <w:r>
              <w:rPr>
                <w:rFonts w:ascii="仿宋_GB2312" w:hAnsi="仿宋_GB2312" w:cs="仿宋_GB2312" w:eastAsia="仿宋_GB2312"/>
                <w:sz w:val="24"/>
              </w:rPr>
              <w:t>长安路立交位于二环南路与长安路立交叉处，为两层长条苜蓿叶互通式立体交叉。其南北跨线桥上部结构为简支先张预应力空心板，跨径为</w:t>
            </w:r>
            <w:r>
              <w:rPr>
                <w:rFonts w:ascii="仿宋_GB2312" w:hAnsi="仿宋_GB2312" w:cs="仿宋_GB2312" w:eastAsia="仿宋_GB2312"/>
                <w:sz w:val="24"/>
              </w:rPr>
              <w:t>(10.2+13.5+13.5+10.2)m。桥面总宽51.5m(包括栏杆)，其中两幅机动车道各宽12m，两幅非机动车道各宽6m，两侧人行道(包括栏杆)各宽5.25m，中央分隔带宽2m，机动车道与非机动车道的分隔带各1.5m。桥面铺装上层为6cm的沥青混凝土，下层为10cm厚的现浇混凝土。该桥下部结构为扩大基础，钢筋混凝土扶壁式轻型桥台，柱式墩。该桥于1994 年11月竣工通车，2013年8月南侧和北侧车道实施拓宽改造。</w:t>
            </w:r>
          </w:p>
          <w:p>
            <w:pPr>
              <w:pStyle w:val="null3"/>
              <w:ind w:firstLine="480"/>
              <w:jc w:val="both"/>
            </w:pPr>
            <w:r>
              <w:rPr>
                <w:rFonts w:ascii="仿宋_GB2312" w:hAnsi="仿宋_GB2312" w:cs="仿宋_GB2312" w:eastAsia="仿宋_GB2312"/>
                <w:sz w:val="24"/>
              </w:rPr>
              <w:t>技术标准</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(1)设计荷载:汽车-超20、挂车-120:</w:t>
            </w:r>
          </w:p>
          <w:p>
            <w:pPr>
              <w:pStyle w:val="null3"/>
              <w:ind w:firstLine="480"/>
              <w:jc w:val="both"/>
            </w:pPr>
            <w:r>
              <w:rPr>
                <w:rFonts w:ascii="仿宋_GB2312" w:hAnsi="仿宋_GB2312" w:cs="仿宋_GB2312" w:eastAsia="仿宋_GB2312"/>
                <w:sz w:val="24"/>
              </w:rPr>
              <w:t>(2)桥梁养护类别为:Ⅱ类1等养护:</w:t>
            </w:r>
          </w:p>
          <w:p>
            <w:pPr>
              <w:pStyle w:val="null3"/>
              <w:ind w:firstLine="480"/>
              <w:jc w:val="both"/>
            </w:pPr>
            <w:r>
              <w:rPr>
                <w:rFonts w:ascii="仿宋_GB2312" w:hAnsi="仿宋_GB2312" w:cs="仿宋_GB2312" w:eastAsia="仿宋_GB2312"/>
                <w:sz w:val="24"/>
              </w:rPr>
              <w:t>(3)桥下净空:4.5m(机动车道)，3.5m(非机动车道):</w:t>
            </w:r>
          </w:p>
          <w:p>
            <w:pPr>
              <w:pStyle w:val="null3"/>
              <w:ind w:firstLine="480"/>
              <w:jc w:val="both"/>
            </w:pPr>
            <w:r>
              <w:rPr>
                <w:rFonts w:ascii="仿宋_GB2312" w:hAnsi="仿宋_GB2312" w:cs="仿宋_GB2312" w:eastAsia="仿宋_GB2312"/>
                <w:sz w:val="24"/>
              </w:rPr>
              <w:t>(4)行车速度:50kyh(长安路)，60kyh(桥下二环路)。</w:t>
            </w:r>
          </w:p>
          <w:p>
            <w:pPr>
              <w:pStyle w:val="null3"/>
              <w:jc w:val="both"/>
            </w:pPr>
            <w:r>
              <w:rPr>
                <w:rFonts w:ascii="仿宋_GB2312" w:hAnsi="仿宋_GB2312" w:cs="仿宋_GB2312" w:eastAsia="仿宋_GB2312"/>
                <w:sz w:val="24"/>
              </w:rPr>
              <w:t>4、监测内容</w:t>
            </w:r>
          </w:p>
          <w:p>
            <w:pPr>
              <w:pStyle w:val="null3"/>
              <w:ind w:left="15" w:right="15" w:firstLine="528"/>
              <w:jc w:val="both"/>
            </w:pPr>
            <w:r>
              <w:rPr>
                <w:rFonts w:ascii="仿宋_GB2312" w:hAnsi="仿宋_GB2312" w:cs="仿宋_GB2312" w:eastAsia="仿宋_GB2312"/>
                <w:sz w:val="24"/>
              </w:rPr>
              <w:t>监测桥梁为北三环六村堡立交、南二环长安路立交，主要监测内容包括温湿</w:t>
            </w:r>
            <w:r>
              <w:rPr>
                <w:rFonts w:ascii="仿宋_GB2312" w:hAnsi="仿宋_GB2312" w:cs="仿宋_GB2312" w:eastAsia="仿宋_GB2312"/>
                <w:sz w:val="24"/>
              </w:rPr>
              <w:t>度（桥址区环境温湿度）、位移（主梁竖向位移、墩顶位移，拱肋变形）、应变（主梁</w:t>
            </w:r>
            <w:r>
              <w:rPr>
                <w:rFonts w:ascii="仿宋_GB2312" w:hAnsi="仿宋_GB2312" w:cs="仿宋_GB2312" w:eastAsia="仿宋_GB2312"/>
                <w:sz w:val="24"/>
              </w:rPr>
              <w:t>/拱肋关键截</w:t>
            </w:r>
            <w:r>
              <w:rPr>
                <w:rFonts w:ascii="仿宋_GB2312" w:hAnsi="仿宋_GB2312" w:cs="仿宋_GB2312" w:eastAsia="仿宋_GB2312"/>
                <w:sz w:val="24"/>
              </w:rPr>
              <w:t>面应变）、振动（主梁竖向振动加速度）等。具体监测设备清单参照《城市桥梁安全风险在线监测设备安装试点项目》竣工图。</w:t>
            </w:r>
          </w:p>
          <w:p>
            <w:pPr>
              <w:pStyle w:val="null3"/>
              <w:jc w:val="both"/>
            </w:pPr>
            <w:r>
              <w:rPr>
                <w:rFonts w:ascii="仿宋_GB2312" w:hAnsi="仿宋_GB2312" w:cs="仿宋_GB2312" w:eastAsia="仿宋_GB2312"/>
                <w:sz w:val="24"/>
              </w:rPr>
              <w:t>5、监测平台运维</w:t>
            </w:r>
          </w:p>
          <w:p>
            <w:pPr>
              <w:pStyle w:val="null3"/>
              <w:ind w:firstLine="381"/>
              <w:jc w:val="both"/>
            </w:pPr>
            <w:r>
              <w:rPr>
                <w:rFonts w:ascii="仿宋_GB2312" w:hAnsi="仿宋_GB2312" w:cs="仿宋_GB2312" w:eastAsia="仿宋_GB2312"/>
                <w:sz w:val="24"/>
              </w:rPr>
              <w:t>满足《公路桥梁结构监测技术规范》（</w:t>
            </w:r>
            <w:r>
              <w:rPr>
                <w:rFonts w:ascii="仿宋_GB2312" w:hAnsi="仿宋_GB2312" w:cs="仿宋_GB2312" w:eastAsia="仿宋_GB2312"/>
                <w:sz w:val="24"/>
              </w:rPr>
              <w:t>JT</w:t>
            </w:r>
            <w:r>
              <w:rPr>
                <w:rFonts w:ascii="仿宋_GB2312" w:hAnsi="仿宋_GB2312" w:cs="仿宋_GB2312" w:eastAsia="仿宋_GB2312"/>
                <w:sz w:val="24"/>
              </w:rPr>
              <w:t>/T1037-2022）要求</w:t>
            </w:r>
            <w:r>
              <w:rPr>
                <w:rFonts w:ascii="仿宋_GB2312" w:hAnsi="仿宋_GB2312" w:cs="仿宋_GB2312" w:eastAsia="仿宋_GB2312"/>
                <w:sz w:val="24"/>
              </w:rPr>
              <w:t>，包括但不限于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1）硬件设施日常检查；</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2）硬件设施维护；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3）监测平台运行过程中出现监测数值异常情况时，受托人应立即开展硬件设备、网络传输等排查工作。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4）监测报告中的数据分析，应提供相关支撑材料，包括但不限于计算模型、分析计算</w:t>
            </w:r>
            <w:r>
              <w:rPr>
                <w:rFonts w:ascii="仿宋_GB2312" w:hAnsi="仿宋_GB2312" w:cs="仿宋_GB2312" w:eastAsia="仿宋_GB2312"/>
                <w:sz w:val="24"/>
              </w:rPr>
              <w:t>依据规范标准和著作文献等，并对分析过程进行详细阐述。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5）本项目硬件设备在质保期内如有损坏，由承包人无条件免费更换。</w:t>
            </w:r>
          </w:p>
          <w:p>
            <w:pPr>
              <w:pStyle w:val="null3"/>
              <w:jc w:val="both"/>
            </w:pPr>
            <w:r>
              <w:rPr>
                <w:rFonts w:ascii="仿宋_GB2312" w:hAnsi="仿宋_GB2312" w:cs="仿宋_GB2312" w:eastAsia="仿宋_GB2312"/>
                <w:sz w:val="24"/>
              </w:rPr>
              <w:t>6、监测数据分析</w:t>
            </w:r>
          </w:p>
          <w:p>
            <w:pPr>
              <w:pStyle w:val="null3"/>
              <w:ind w:left="120" w:firstLine="512"/>
              <w:jc w:val="both"/>
            </w:pPr>
            <w:r>
              <w:rPr>
                <w:rFonts w:ascii="仿宋_GB2312" w:hAnsi="仿宋_GB2312" w:cs="仿宋_GB2312" w:eastAsia="仿宋_GB2312"/>
                <w:sz w:val="24"/>
              </w:rPr>
              <w:t>监测数据分析应用满足《公路桥梁结构监测技术规范》（</w:t>
            </w:r>
            <w:r>
              <w:rPr>
                <w:rFonts w:ascii="仿宋_GB2312" w:hAnsi="仿宋_GB2312" w:cs="仿宋_GB2312" w:eastAsia="仿宋_GB2312"/>
                <w:sz w:val="24"/>
              </w:rPr>
              <w:t>JT</w:t>
            </w:r>
            <w:r>
              <w:rPr>
                <w:rFonts w:ascii="仿宋_GB2312" w:hAnsi="仿宋_GB2312" w:cs="仿宋_GB2312" w:eastAsia="仿宋_GB2312"/>
                <w:sz w:val="24"/>
              </w:rPr>
              <w:t>/T1037-</w:t>
            </w:r>
            <w:r>
              <w:rPr>
                <w:rFonts w:ascii="仿宋_GB2312" w:hAnsi="仿宋_GB2312" w:cs="仿宋_GB2312" w:eastAsia="仿宋_GB2312"/>
                <w:sz w:val="24"/>
              </w:rPr>
              <w:t>2022）要求，包括</w:t>
            </w:r>
            <w:r>
              <w:rPr>
                <w:rFonts w:ascii="仿宋_GB2312" w:hAnsi="仿宋_GB2312" w:cs="仿宋_GB2312" w:eastAsia="仿宋_GB2312"/>
                <w:sz w:val="24"/>
              </w:rPr>
              <w:t>但不限于</w:t>
            </w:r>
            <w:r>
              <w:rPr>
                <w:rFonts w:ascii="仿宋_GB2312" w:hAnsi="仿宋_GB2312" w:cs="仿宋_GB2312" w:eastAsia="仿宋_GB2312"/>
                <w:sz w:val="24"/>
              </w:rPr>
              <w:t>:监测数据分析、超限阈值与报警、车辆通行管</w:t>
            </w:r>
            <w:r>
              <w:rPr>
                <w:rFonts w:ascii="仿宋_GB2312" w:hAnsi="仿宋_GB2312" w:cs="仿宋_GB2312" w:eastAsia="仿宋_GB2312"/>
                <w:sz w:val="24"/>
              </w:rPr>
              <w:t>控建议、检查指引、健康度评估、特</w:t>
            </w:r>
            <w:r>
              <w:rPr>
                <w:rFonts w:ascii="仿宋_GB2312" w:hAnsi="仿宋_GB2312" w:cs="仿宋_GB2312" w:eastAsia="仿宋_GB2312"/>
                <w:sz w:val="24"/>
              </w:rPr>
              <w:t>殊事件应急管理等。</w:t>
            </w:r>
            <w:r>
              <w:rPr>
                <w:rFonts w:ascii="仿宋_GB2312" w:hAnsi="仿宋_GB2312" w:cs="仿宋_GB2312" w:eastAsia="仿宋_GB2312"/>
                <w:sz w:val="24"/>
              </w:rPr>
              <w:t>具体技术服务工作应分析环境、作用、结构响应和结构变化监测数据，并宜结合该桥桥</w:t>
            </w:r>
            <w:r>
              <w:rPr>
                <w:rFonts w:ascii="仿宋_GB2312" w:hAnsi="仿宋_GB2312" w:cs="仿宋_GB2312" w:eastAsia="仿宋_GB2312"/>
                <w:sz w:val="24"/>
              </w:rPr>
              <w:t>梁养护的经常检查、定期检查和特殊检查数据，包括但不限于</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1）全天候桥梁结构安全监测预警；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2）桥梁结构安全评估；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3）桥梁结构灾后应急安全评估及决策技术咨询；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4）桥梁结构预警后应急安全评估及决策技术咨询；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5）灾后应急交通管制建议及技术咨询；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6）灾后应急抢险及临时加固保通技术咨询。</w:t>
            </w:r>
          </w:p>
          <w:p>
            <w:pPr>
              <w:pStyle w:val="null3"/>
              <w:ind w:left="15"/>
              <w:jc w:val="both"/>
            </w:pPr>
            <w:r>
              <w:rPr>
                <w:rFonts w:ascii="仿宋_GB2312" w:hAnsi="仿宋_GB2312" w:cs="仿宋_GB2312" w:eastAsia="仿宋_GB2312"/>
                <w:sz w:val="24"/>
              </w:rPr>
              <w:t>（</w:t>
            </w:r>
            <w:r>
              <w:rPr>
                <w:rFonts w:ascii="仿宋_GB2312" w:hAnsi="仿宋_GB2312" w:cs="仿宋_GB2312" w:eastAsia="仿宋_GB2312"/>
                <w:sz w:val="24"/>
              </w:rPr>
              <w:t>7）报告出具频率，单桥监测平台数据分析报告分为常规定期报告（月报、年报）和特</w:t>
            </w:r>
            <w:r>
              <w:rPr>
                <w:rFonts w:ascii="仿宋_GB2312" w:hAnsi="仿宋_GB2312" w:cs="仿宋_GB2312" w:eastAsia="仿宋_GB2312"/>
                <w:sz w:val="24"/>
              </w:rPr>
              <w:t>殊事件专项报告，具体规定如下：</w:t>
            </w:r>
          </w:p>
          <w:p>
            <w:pPr>
              <w:pStyle w:val="null3"/>
              <w:ind w:left="465" w:firstLine="500"/>
              <w:jc w:val="both"/>
            </w:pPr>
            <w:r>
              <w:rPr>
                <w:rFonts w:ascii="仿宋_GB2312" w:hAnsi="仿宋_GB2312" w:cs="仿宋_GB2312" w:eastAsia="仿宋_GB2312"/>
                <w:sz w:val="24"/>
              </w:rPr>
              <w:t>1）常规定期报告：</w:t>
            </w:r>
          </w:p>
          <w:p>
            <w:pPr>
              <w:pStyle w:val="null3"/>
              <w:ind w:left="450" w:firstLine="512"/>
              <w:jc w:val="both"/>
            </w:pPr>
            <w:r>
              <w:rPr>
                <w:rFonts w:ascii="仿宋_GB2312" w:hAnsi="仿宋_GB2312" w:cs="仿宋_GB2312" w:eastAsia="仿宋_GB2312"/>
                <w:sz w:val="24"/>
              </w:rPr>
              <w:t>常规定期报告（月报、年报）主要内容包括：</w:t>
            </w:r>
          </w:p>
          <w:p>
            <w:pPr>
              <w:pStyle w:val="null3"/>
              <w:ind w:left="435" w:firstLine="512"/>
              <w:jc w:val="both"/>
            </w:pPr>
            <w:r>
              <w:rPr>
                <w:rFonts w:ascii="仿宋_GB2312" w:hAnsi="仿宋_GB2312" w:cs="仿宋_GB2312" w:eastAsia="仿宋_GB2312"/>
                <w:sz w:val="24"/>
              </w:rPr>
              <w:t>a）单桥监测平台运行状况分析；</w:t>
            </w:r>
          </w:p>
          <w:p>
            <w:pPr>
              <w:pStyle w:val="null3"/>
              <w:ind w:left="435" w:firstLine="512"/>
              <w:jc w:val="both"/>
            </w:pPr>
            <w:r>
              <w:rPr>
                <w:rFonts w:ascii="仿宋_GB2312" w:hAnsi="仿宋_GB2312" w:cs="仿宋_GB2312" w:eastAsia="仿宋_GB2312"/>
                <w:sz w:val="24"/>
              </w:rPr>
              <w:t>b）监测数据质量分析；</w:t>
            </w:r>
          </w:p>
          <w:p>
            <w:pPr>
              <w:pStyle w:val="null3"/>
              <w:ind w:firstLine="512"/>
              <w:jc w:val="both"/>
            </w:pPr>
            <w:r>
              <w:rPr>
                <w:rFonts w:ascii="仿宋_GB2312" w:hAnsi="仿宋_GB2312" w:cs="仿宋_GB2312" w:eastAsia="仿宋_GB2312"/>
                <w:sz w:val="24"/>
              </w:rPr>
              <w:t>c）环境、作用、结构响应监测数据统计分析；</w:t>
            </w:r>
          </w:p>
          <w:p>
            <w:pPr>
              <w:pStyle w:val="null3"/>
              <w:ind w:firstLine="512"/>
              <w:jc w:val="both"/>
            </w:pPr>
            <w:r>
              <w:rPr>
                <w:rFonts w:ascii="仿宋_GB2312" w:hAnsi="仿宋_GB2312" w:cs="仿宋_GB2312" w:eastAsia="仿宋_GB2312"/>
                <w:sz w:val="24"/>
              </w:rPr>
              <w:t>d）监测数据相关性分析；</w:t>
            </w:r>
          </w:p>
          <w:p>
            <w:pPr>
              <w:pStyle w:val="null3"/>
              <w:ind w:firstLine="508"/>
              <w:jc w:val="both"/>
            </w:pPr>
            <w:r>
              <w:rPr>
                <w:rFonts w:ascii="仿宋_GB2312" w:hAnsi="仿宋_GB2312" w:cs="仿宋_GB2312" w:eastAsia="仿宋_GB2312"/>
                <w:sz w:val="24"/>
              </w:rPr>
              <w:t>e）桥梁健康度评价；</w:t>
            </w:r>
          </w:p>
          <w:p>
            <w:pPr>
              <w:pStyle w:val="null3"/>
              <w:ind w:left="435" w:firstLine="516"/>
              <w:jc w:val="both"/>
            </w:pPr>
            <w:r>
              <w:rPr>
                <w:rFonts w:ascii="仿宋_GB2312" w:hAnsi="仿宋_GB2312" w:cs="仿宋_GB2312" w:eastAsia="仿宋_GB2312"/>
                <w:sz w:val="24"/>
              </w:rPr>
              <w:t>f）月度报告在每月结束后10天内提交，年度报告</w:t>
            </w:r>
            <w:r>
              <w:rPr>
                <w:rFonts w:ascii="仿宋_GB2312" w:hAnsi="仿宋_GB2312" w:cs="仿宋_GB2312" w:eastAsia="仿宋_GB2312"/>
                <w:sz w:val="24"/>
              </w:rPr>
              <w:t>在年度结束后</w:t>
            </w:r>
            <w:r>
              <w:rPr>
                <w:rFonts w:ascii="仿宋_GB2312" w:hAnsi="仿宋_GB2312" w:cs="仿宋_GB2312" w:eastAsia="仿宋_GB2312"/>
                <w:sz w:val="24"/>
              </w:rPr>
              <w:t>10天内提交。</w:t>
            </w:r>
          </w:p>
          <w:p>
            <w:pPr>
              <w:pStyle w:val="null3"/>
              <w:ind w:left="15" w:firstLine="508"/>
              <w:jc w:val="both"/>
            </w:pPr>
            <w:r>
              <w:rPr>
                <w:rFonts w:ascii="仿宋_GB2312" w:hAnsi="仿宋_GB2312" w:cs="仿宋_GB2312" w:eastAsia="仿宋_GB2312"/>
                <w:sz w:val="24"/>
              </w:rPr>
              <w:t>2）特殊事件专项报告（指影响桥梁结构运行安全的突发事件，如强（台）风、地震、凝</w:t>
            </w:r>
            <w:r>
              <w:rPr>
                <w:rFonts w:ascii="仿宋_GB2312" w:hAnsi="仿宋_GB2312" w:cs="仿宋_GB2312" w:eastAsia="仿宋_GB2312"/>
                <w:sz w:val="24"/>
              </w:rPr>
              <w:t>冻、山体崩塌滑坡、地面塌陷裂缝、地面沉降等自然灾害，以及涡振、车辆超载、车撞、船</w:t>
            </w:r>
            <w:r>
              <w:rPr>
                <w:rFonts w:ascii="仿宋_GB2312" w:hAnsi="仿宋_GB2312" w:cs="仿宋_GB2312" w:eastAsia="仿宋_GB2312"/>
                <w:sz w:val="24"/>
              </w:rPr>
              <w:t>撞、火灾等意外事故</w:t>
            </w:r>
            <w:r>
              <w:rPr>
                <w:rFonts w:ascii="仿宋_GB2312" w:hAnsi="仿宋_GB2312" w:cs="仿宋_GB2312" w:eastAsia="仿宋_GB2312"/>
                <w:sz w:val="24"/>
              </w:rPr>
              <w:t>)：当发生特殊事件时，由人工主动参与结合特殊事件发生前后时间段内</w:t>
            </w:r>
            <w:r>
              <w:rPr>
                <w:rFonts w:ascii="仿宋_GB2312" w:hAnsi="仿宋_GB2312" w:cs="仿宋_GB2312" w:eastAsia="仿宋_GB2312"/>
                <w:sz w:val="24"/>
              </w:rPr>
              <w:t>的环境、作用、结构响应和结构变化监测数据进行统计分析和关联性分析，对发生特殊事件后对桥梁进行初步的结构安全性评价。特殊事件发生时，应立即报告发包人，且在特殊事件</w:t>
            </w:r>
            <w:r>
              <w:rPr>
                <w:rFonts w:ascii="仿宋_GB2312" w:hAnsi="仿宋_GB2312" w:cs="仿宋_GB2312" w:eastAsia="仿宋_GB2312"/>
                <w:sz w:val="24"/>
              </w:rPr>
              <w:t>发生后一周内提交专项报告。</w:t>
            </w:r>
          </w:p>
          <w:p>
            <w:pPr>
              <w:pStyle w:val="null3"/>
              <w:jc w:val="both"/>
            </w:pPr>
            <w:r>
              <w:rPr>
                <w:rFonts w:ascii="仿宋_GB2312" w:hAnsi="仿宋_GB2312" w:cs="仿宋_GB2312" w:eastAsia="仿宋_GB2312"/>
                <w:sz w:val="24"/>
              </w:rPr>
              <w:t>三、其他要求</w:t>
            </w:r>
          </w:p>
          <w:p>
            <w:pPr>
              <w:pStyle w:val="null3"/>
              <w:jc w:val="both"/>
            </w:pPr>
            <w:r>
              <w:rPr>
                <w:rFonts w:ascii="仿宋_GB2312" w:hAnsi="仿宋_GB2312" w:cs="仿宋_GB2312" w:eastAsia="仿宋_GB2312"/>
                <w:sz w:val="24"/>
              </w:rPr>
              <w:t>（一）监测服务期</w:t>
            </w:r>
          </w:p>
          <w:p>
            <w:pPr>
              <w:pStyle w:val="null3"/>
              <w:ind w:left="45" w:firstLine="508"/>
              <w:jc w:val="both"/>
            </w:pPr>
            <w:r>
              <w:rPr>
                <w:rFonts w:ascii="仿宋_GB2312" w:hAnsi="仿宋_GB2312" w:cs="仿宋_GB2312" w:eastAsia="仿宋_GB2312"/>
                <w:sz w:val="24"/>
              </w:rPr>
              <w:t>实施期：合同签订后</w:t>
            </w:r>
            <w:r>
              <w:rPr>
                <w:rFonts w:ascii="仿宋_GB2312" w:hAnsi="仿宋_GB2312" w:cs="仿宋_GB2312" w:eastAsia="仿宋_GB2312"/>
                <w:sz w:val="24"/>
              </w:rPr>
              <w:t>5天内开展监测准备，及时开展监测及运维工作。服务期为合同签订后的一个年度。</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（二）服务质量要求</w:t>
            </w:r>
          </w:p>
          <w:p>
            <w:pPr>
              <w:pStyle w:val="null3"/>
              <w:ind w:left="45" w:firstLine="516"/>
              <w:jc w:val="both"/>
            </w:pPr>
            <w:r>
              <w:rPr>
                <w:rFonts w:ascii="仿宋_GB2312" w:hAnsi="仿宋_GB2312" w:cs="仿宋_GB2312" w:eastAsia="仿宋_GB2312"/>
                <w:sz w:val="24"/>
              </w:rPr>
              <w:t>编制运维方案，按规定开展巡查检测，形成台账；定期提交监测分析报告；设备完好率</w:t>
            </w:r>
            <w:r>
              <w:rPr>
                <w:rFonts w:ascii="仿宋_GB2312" w:hAnsi="仿宋_GB2312" w:cs="仿宋_GB2312" w:eastAsia="仿宋_GB2312"/>
                <w:sz w:val="24"/>
              </w:rPr>
              <w:t>≥95%。对维护中发现的问题24小时</w:t>
            </w:r>
            <w:r>
              <w:rPr>
                <w:rFonts w:ascii="仿宋_GB2312" w:hAnsi="仿宋_GB2312" w:cs="仿宋_GB2312" w:eastAsia="仿宋_GB2312"/>
                <w:sz w:val="24"/>
              </w:rPr>
              <w:t>内进行响应并处置。</w:t>
            </w:r>
          </w:p>
          <w:p>
            <w:pPr>
              <w:pStyle w:val="null3"/>
              <w:jc w:val="both"/>
            </w:pPr>
            <w:r>
              <w:rPr>
                <w:rFonts w:ascii="仿宋_GB2312" w:hAnsi="仿宋_GB2312" w:cs="仿宋_GB2312" w:eastAsia="仿宋_GB2312"/>
                <w:sz w:val="24"/>
              </w:rPr>
              <w:t>（三）验收要求</w:t>
            </w:r>
          </w:p>
          <w:p>
            <w:pPr>
              <w:pStyle w:val="null3"/>
              <w:ind w:firstLine="504"/>
              <w:jc w:val="both"/>
            </w:pPr>
            <w:r>
              <w:rPr>
                <w:rFonts w:ascii="仿宋_GB2312" w:hAnsi="仿宋_GB2312" w:cs="仿宋_GB2312" w:eastAsia="仿宋_GB2312"/>
                <w:sz w:val="24"/>
              </w:rPr>
              <w:t>验收由采购人成立验收小组进行验收，采购人依据下列验收标准进行验收：</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1）相关国家、行业标准；</w:t>
            </w:r>
          </w:p>
          <w:p>
            <w:pPr>
              <w:pStyle w:val="null3"/>
              <w:ind w:firstLine="504"/>
              <w:jc w:val="both"/>
            </w:pPr>
            <w:r>
              <w:rPr>
                <w:rFonts w:ascii="仿宋_GB2312" w:hAnsi="仿宋_GB2312" w:cs="仿宋_GB2312" w:eastAsia="仿宋_GB2312"/>
                <w:sz w:val="24"/>
              </w:rPr>
              <w:t>（</w:t>
            </w:r>
            <w:r>
              <w:rPr>
                <w:rFonts w:ascii="仿宋_GB2312" w:hAnsi="仿宋_GB2312" w:cs="仿宋_GB2312" w:eastAsia="仿宋_GB2312"/>
                <w:sz w:val="24"/>
              </w:rPr>
              <w:t>2）合同、招标文件、中标人投标文件、双方确认的技术文件等。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详见技术参数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服务期为合同签订后的一个年度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合同签订后，支付预付款。甲方收到增值税发票后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乙方完成合同全部内容，验收合格后，甲方收到增值税发票后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详见磋商文件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磋商截止日前一年内任意一个月的纳税证明或完税证明，纳税证明或完税证明上应有代收机构或税务机关的公章或业务专用章；其他组织和自然人提供磋商截止日前一年内任意一个月缴纳税收的凭据；依法免税的或者依法不需缴税的供应商应提供相关文件证明； ③社会保障资金缴纳证明：提供磋商截止日前一年内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法人提供会计师事务所出具的有效的2023年度或2024年度审计报告（成立时间至提交响应文件截止时间不足一年的可提供成立后任意时段的资产负债表），或提交在开标日期前六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供应商须具备交通运输部公路工程试验检测综合甲级或桥梁隧道工程专项资质，且同时具备省级及以上质量技术监督部门颁发的CMA 计量认证证书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供应商拟派项目负责人须具有桥梁专业或相近专业的高级职称，同时须具有交通运输部颁发的桥梁试验检测工程师资格证书；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法定代表人身份证复印件/法定代表人授权委托书</w:t>
            </w:r>
          </w:p>
        </w:tc>
        <w:tc>
          <w:tcPr>
            <w:tcW w:type="dxa" w:w="3322"/>
          </w:tcPr>
          <w:p>
            <w:pPr>
              <w:pStyle w:val="null3"/>
            </w:pPr>
            <w:r>
              <w:rPr>
                <w:rFonts w:ascii="仿宋_GB2312" w:hAnsi="仿宋_GB2312" w:cs="仿宋_GB2312" w:eastAsia="仿宋_GB2312"/>
              </w:rPr>
              <w:t>1)法定代表人参加磋商的，提供法定代表人身份证复印件；2)法定代表人委托代理人参加磋商的，提供法定代表人授权委托书（附法定代表人身份证复印件及被授权委托人身份证复印件）。</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供应商针对本项目编制完善的服务方案，内容包含:①检测技术方案；②检测数据处理；③检测成果；④档案管理方案 。 二、评审标准 1、完整性:方案必须全面，对评审内容中的各项要求有详细描述: 2、可实施性:切合本项目实际情况，提出步骤清晰、合理的方案; 3、针对性:方案能够紧扣项目实际情况，内容科学合理。 三、赋分标准(满分24分) ①检测技术方案:每完全满足一个评审标准得2分，满分6分;②检测数据处理:每完全满足一个评审标准得2分，满分6分。 ③检测成果:每完全满足一个评审标准得2分，满分6分。④档案管理方案:每完全满足一个评审标准得2分，满分6分。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1、完整性:方案必须全面，对评审内容中的各项要求有详细描述: 2、可实施性:切合本项目实际情况，提出步骤清晰、合理的方案; 3、针对性:方案能够紧扣项目实际情况，内容科学合理。 三、赋分标准(满分12分) ①设备配置总体方案:每完全满足一个评审标准得2分，满分6分; ②仪器设备、专业工具:每完全满足一个评审标准得2分，满分6分。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双重预防机制方案</w:t>
            </w:r>
          </w:p>
        </w:tc>
        <w:tc>
          <w:tcPr>
            <w:tcW w:type="dxa" w:w="2492"/>
          </w:tcPr>
          <w:p>
            <w:pPr>
              <w:pStyle w:val="null3"/>
            </w:pPr>
            <w:r>
              <w:rPr>
                <w:rFonts w:ascii="仿宋_GB2312" w:hAnsi="仿宋_GB2312" w:cs="仿宋_GB2312" w:eastAsia="仿宋_GB2312"/>
              </w:rPr>
              <w:t>一、评审内容 供应商针对本项目编制完善的双重预防机制方案。 二、评审标准 1、完整性:方案必须全面，对评审内容中的各项要求有详细描述: 2、可实施性:切合本项目实际情况，提出步骤清晰、合理的方案; 3、针对性:方案能够紧扣项目实际情况，内容科学合理。 三、赋分标准(满分6分) 双重预防机制方案:每完全满足一个评审标准得2分，满分6分。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供应商提供2022年1月至今（以合同签订日期为准）类似项目业绩，以合同复印件为准，每一份计2分，最多计6分。二、评审标准：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