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版本号：YWGL-ZC-2025-0012.1B120250603001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西安文理学院动物生物工程实验室设备采购项目(二次)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YWGL-ZC-2025-0012.1B1</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陕西猷为项目管理有限公司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陕西猷为项目管理有限公司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西安文理学院动物生物工程实验室设备采购项目(二次)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YWGL-ZC-2025-0012.1B1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西安文理学院动物生物工程实验室设备采购项目(二次)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动物生物工程实验室设备采购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采购包1（西安文理学院动物生物工程实验室设备采购项目）：属于专门面向中小企业采购。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不得为中国政府采购网(wmw.ccsp.gov.cn)政府采购严重违法失信行为记录名单中被财政部门禁止参加政府采购活动的单位。</w:t>
      </w:r>
    </w:p>
    <w:p>
      <w:pPr>
        <w:pStyle w:val="null3"/>
      </w:pPr>
      <w:r>
        <w:rPr>
          <w:rFonts w:ascii="仿宋_GB2312" w:hAnsi="仿宋_GB2312" w:cs="仿宋_GB2312" w:eastAsia="仿宋_GB2312"/>
        </w:rPr>
        <w:t>2、法定代表人或其授权委托书：法定代表人直接参加竞争性谈判的，须出具法定代表人身份证明书；法定代表人授权代表参加竞争性谈判的，须出具法定代表人授权委托书。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陕西猷为项目管理有限公司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西安市莲湖区五星街1号万德商务中心7楼10702室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朱静、邢郁苗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029-87400234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采购包1：732,800.00元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代理服务费收费标准：成交供应商在领取成交通知书时，向陕西猷为项目管理有限公司交纳招标代理服务费。服务费收费标准参照国家计委颁发的《招标代理服务收费管理暂行办法》（计价格〔2002〕1980 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陕西猷为项目管理有限公司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陕西猷为项目管理有限公司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陕西猷为项目管理有限公司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联系人：李有为</w:t>
      </w:r>
    </w:p>
    <w:p>
      <w:pPr>
        <w:pStyle w:val="null3"/>
      </w:pPr>
      <w:r>
        <w:rPr>
          <w:rFonts w:ascii="仿宋_GB2312" w:hAnsi="仿宋_GB2312" w:cs="仿宋_GB2312" w:eastAsia="仿宋_GB2312"/>
        </w:rPr>
        <w:t>联系电话：029-87400234</w:t>
      </w:r>
    </w:p>
    <w:p>
      <w:pPr>
        <w:pStyle w:val="null3"/>
      </w:pPr>
      <w:r>
        <w:rPr>
          <w:rFonts w:ascii="仿宋_GB2312" w:hAnsi="仿宋_GB2312" w:cs="仿宋_GB2312" w:eastAsia="仿宋_GB2312"/>
        </w:rPr>
        <w:t>地址：陕西猷为项目管理有限公司（西安市莲湖区五星街1号万德商务中心7楼10702室）</w:t>
      </w:r>
    </w:p>
    <w:p>
      <w:pPr>
        <w:pStyle w:val="null3"/>
      </w:pPr>
      <w:r>
        <w:rPr>
          <w:rFonts w:ascii="仿宋_GB2312" w:hAnsi="仿宋_GB2312" w:cs="仿宋_GB2312" w:eastAsia="仿宋_GB2312"/>
        </w:rPr>
        <w:t>邮编：710002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随着学院学科专业的建设发展，动物室是我院生物科学和生物制药专业及相关专业老师的最基础实验教学条件，根据陕西省科技厅《陕西省实验动物管理办法》的要求，加强实验动物规范安全管理，办理实验动物使用许可证。可满足多专业建设发展需求、实践教学质量提升、社会服务实效提升、实践基地安全管理水平提高。此项目以解决动物实验室仪器设备紧缺问题，为专业教师和学生提供教学与科研一体化的实验条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732,800.00</w:t>
      </w:r>
    </w:p>
    <w:p>
      <w:pPr>
        <w:pStyle w:val="null3"/>
      </w:pPr>
      <w:r>
        <w:rPr>
          <w:rFonts w:ascii="仿宋_GB2312" w:hAnsi="仿宋_GB2312" w:cs="仿宋_GB2312" w:eastAsia="仿宋_GB2312"/>
        </w:rPr>
        <w:t>采购包最高限价（元）: 732,800.00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西安文理学院动物生物工程实验室设备采购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732,800.00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标的名称：西安文理学院动物生物工程实验室设备采购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实验动物专用灭菌器（带蒸发器） 1、灭菌器容积≥400升 2、用途：用于实验动物中心垫料、笼具、液体、饲料等物品灭菌处理。 3、设计压力：≥0.25Mpa 4、最高工作温度：≤139℃ 5、密封门：双扉式机动开门 6、灭菌器主体材质：为304优质不锈钢并符合质量和安全标准，一类压力容器。 7、主控制系统：彩色触摸屏操作 8、记录方式：即时打印参数，可打印运行程序与程序设定的参数 9、程序选择：设备具有垫料、笼具、敷料、器械、下排汽及若干个用户自定义程序等。 10、真空泵：直联单极水循环式真空泵，噪声≤60dB 11、管路要求：真空泵、管道、电器及所有需要维修的配件装在设备的一侧，独立悬挂,降低震动。 12、密封门及门胶条要求: 密封门设有安全连锁装置、密封圈耐温不少于200度，门胶条需装在设备大门上面。 13、内置蒸发器功率：≤30KW 14、消毒车要求：消毒内车为不锈钢材质。配备与灭菌器数量相匹配的灭菌物品装卸车 15、场地限制外形尺寸：≤1375x1200x1900mm 16、灭菌室尺寸：≥1085x560x660mm 17、配合学校取得特种设备使用许可证并负责项目质保期内的定期检定工作</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恒温恒湿空调机组： 1、室内机（室外防雨型） 1.1送风量≥5000m³/h 1.2机外余压≥750pa 1.3冷量≥61kw 热量≥68kw 1.4电预热≥24kw 电再热≥14kw 1.5电极加湿≥60kg/h 1.6外形尺寸：长宽高≤4700*1400*1000 1.7功能段：新风段预热段，初效过滤段(G4)、直接蒸发段(带电加热)、电极加湿段、离心送风机段、均流段、中效过滤段(F8)、出风段 1.8无论是框梁（骨架）还是保温护板，只要同时接触机组内外空气的连接处均应采取绝对“断冷桥”结构。投标书必须详细说明具体的“断冷桥”措施、并提供详细说明及结构示意图。 1.9 箱板采用双层面板中间高压聚氨脂发泡保温，箱板导热系数小于0.022W/m•K，外壁板采用厚度不小于0.5mm厚的辊涂新工艺彩钢板，内壁板为不小于0.5mm厚无锌花镀锌钢板，其中内底板为不小于0.5mm厚无锌花镀锌钢板。 2.0机组铝合金型材框架与内外面板经流水线高压发泡一次成型，成为一个整体，内部平整无间隙，机组采用内埋加强筋以增加强度、结构强度高，不得出现内部突出结构，箱板厚度50mm。密度不小于50Kg/m³。需提供机组内部结构对接示意图，高压聚氨脂发泡经国家检测，并提供相关检测报告。 2、室外机 2.1室外机压缩机采用直流变频控制技术，实现能够对压缩机转速的无级调速；系统外置高效油分离器，设计二次过冷（冷凝器过冷回路、板式经济器过冷），过冷度需达到15℃以上，以适宜超长管路输送且能确保管内侧制冷剂低压降，及保证系统蒸发侧电子膨胀阀调节的稳定和冷量不损减。</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软水机组 1、制水量：≥1t/h 2、罐体为玻璃钢专用罐，内装符合现行国家标准《001×7 强酸性苯乙烯系阳离子交换树脂》(GB/T13659-2008）的阳离子交换树脂 3、控制阀为全自动多路阀，可在设定的时间自动完成反洗、吸盐再生、置换和盐箱补水的整个离子交换过程，使树脂的再生自动完成 4、出水硬度：≤0.03mmol/L(以CaCO3计) 5、功率：≤30w 6、工作压力：0.15-0.5MPa 7、电源：220V</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无菌水机 1、产水能力：≥0.5t/h（25℃) 2、进水要求:稳定的自来水水源，流量1m³/h，温度5-40℃, 压力0.2-0.5Mpa 3、出水指标：符合《实验动物环境与设施》（GB14925-2023）用水要求和SPF级实验动物无菌水要求。菌落总数小于1cfu/ml 。不得检出大肠菌群、致病菌（MPN/100ml）霉菌 4、缺水自动停机，满水自动停止 5、功率：约1.5kw 6、304不锈钢材质的无菌水箱，全封闭式无菌水箱 φ700×2000mm（D×H）（参考尺寸）带呼吸阀 7、全自动内循环：保持系统内低细菌污染水平 8、采用渗透膜技术+紫外+臭氧灭菌技术</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动物实验室除臭设备 1、功能作用：安装在实验室废气排放设施排风管道末端，可清除设施尾气中的氨气、硫化氢、臭气等多种污染因子，及甲醇、甲醛等挥发性有机物，维护实验动物设施周边环境空气质量，改善设施尾气对大气环境的影响。提供产品相关证明材料。 2、技术原理：采用膜式气液扰流技术（带智能加药器）的处理工艺。 3、功能段位（处理流程）：包括进风段→膜式气液扰流段（带智能加药器）→出风段。 ★4、废气处理要求：脱臭效果处理后的排风口和周界恶臭污染物浓度均应满足以下规定限值，即：排风口臭气浓度≤1000，氨≤30mg/m³，硫化氢≤5mg/m³；周界臭气浓度≤10，氨≤1mg/m³，硫化氢≤0.03mg/m³；对有机物（包含但不限于苯、甲苯、二甲苯、非甲烷总烃）的净化效率应≥90%。提供第三方检测机构出具的带CMA认证的整机检测报告复印件（加盖供应商公章），需体现且满足上述数值要求。 5、废水排放：设备排放的废水应符合GB18918-2002《城镇污水处理厂污染物排放标准》。即氨氮≤5mg/L、化学需氧量≤50mg/L、五日生化需氧量≤10mg/L、pH值（6-9）、悬浮物≤10mg/L、总氮≤15mg/L、阴离子表面活性剂≤0.5mg/L、粪大肠菌群数≤10³ MPN/L、总磷≤0.5mg/L；提供第三方检测机构出具的带CMA认证的整机检测报告复印件（加盖供应商公章），需体现且满足上述数值要求。 6、臭氧排放：设备附近环境空气中臭氧浓度满足GB3095-2012《环境空气质量标准》规定的二级限值，即臭氧≤200μg/m³。提供第三方检测机构出具的带CMA认证的整机检测报告复印件（加盖供应商公章），需体现且满足上述数值要求。 7、设备稳定性认证：获得中国环保认证产品认证证书，且产品符合CQC51-449422-2018《工业废气处理净化装置环保认证规则》认证规则的要求。 8、壳体材质力学性能要求：壳体材质为SUS304不锈钢，其抗拉强度Rm、规定塑性延伸强度RP0.2、断后伸长率A、维氏硬度等均应符合GB/T3280-2015《不锈钢冷轧钢板和钢带》要求，即抗拉强度Rm≥515MPa，规定塑性延伸强度 RP0.2≥205MPa，断后伸长率A≥40%，维氏硬度≤210HV。提供第三方检测机构出具的带CMA认证的整机检测报告复印件（加盖供应商公章），需体现且满足上述数值要求。 ★9、湿膜要求吸水性强，湿膜材料的质量吸水率＞100%，提供第三方检测机构出具的带CMA认证的整机检测报告复印件（加盖供应商公章），需体现且满足上述数值要求。 10、智能加药器采用双路加药，可同时加两种不同药液；单个储液桶容量≥20L，储液桶材质为PP材质，加药器壳体为SUS304不锈钢材质。智能加药器控制由除臭设备总控制系统控制，日常运行可实现无人值守。智能加药器外形尺寸≤长600×宽300×高700(mm)。 11、控制系统：采用智能控制系统（DDC控制，HMI通讯接口），每台设备自带一套控制，触摸屏操作，可实时显示设备运行的水位、泵口水压状态、可根据实际运行需要设置工作强度、排水周期以节约能耗；控制系统具备与楼宇中控系统进行通讯的接口，可供中控系统读取设备状态数据。 12、供应商所投产品应可用于动物实验室外排废气的净化处理，产品名称供应商可自主命名。</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rPr>
              <w:t>传递窗 1、功能作用：安装在洁净区与非洁净区之间，使物料传递时间≤3min，用于对被传递物品或带有活体动物的转运笼具表面进行快速消杀，避免病原微生物在各区域之间传播。提供产品相关证明材料。 2、消毒因子：由高能脉冲氙光灯管产生的高强度脉冲强光紫外线。 3、灯管布置方式：舱内顶部不少于1支高能氙灯，灯管发光长度≥560mm，灯管直径≥60mm；舱内双侧面各不少于3支高能脉冲氙灯，舱内底面不少于3支防水高能脉冲氙灯，且每个面上高能脉冲氙灯有效发光长度合计≥540mm。 4、舱内紫外辐射照度：距传递窗内部灯管表面25cm处，测量的紫外辐射照度平均值≥11mw/cm²。提供第三方检测机构出具的带CMA认证的整机检测报告复印件（加盖供应商公章），需体现且满足上述数值要求。 ★5、杀灭效率：消毒作用3min，对铜绿假单胞菌、龟分枝杆菌脓肿亚种、白色葡萄球菌、金黄色葡萄球菌、大肠杆菌、白色念珠菌、枯草杆菌黑色变种芽孢的杀灭对数值＞3，符合《消毒技术规范》（2002年版）的要求；对冠状病毒HCoV-229E、腺病毒Ad-5、甲型流感病毒H1N1的杀灭对数值＞4。提供第三方检测机构出具的带CMA认证的整机检测报告复印件（加盖供应商公章），需体现且满足上述数值要求。 6、臭氧残留量：设备运行3min，传递窗臭氧残留量≤0.16mg/m³，符合GB28232-2020《臭氧消毒器卫生要求》臭氧残留量≤0.16mg/m³的要求。提供第三方检测机构出具的带CMA认证的整机检测报告复印件（加盖供应商公章），需体现且满足上述数值要求。 7、紫外线泄漏量：设备开机后，其周边30cm处，紫外线泄漏量≤5μW/cm²，符合GB28235-2020《紫外线消毒器卫生要求》紫外线泄漏量≤5μW/cm²的要求。提供第三方检测机构出具的带CMA认证的整机检测报告复印件（加盖供应商公章），需体现且满足上述数值要求。 8、脉冲氙光灯罩石英玻璃透射比：脉冲氙光灯罩石英玻璃对253.7nm波长紫外线的透射比≥84%。 9、自净功能：传递窗采用内循环方式自净，无需外接管道，换气次数＞20次/小时，内外均安装机械压差表以随时监测高效过滤器的堵塞情况。 10、应急手动开关：传递窗应配备应急手动开关，正常状态采用DDC控制系统，故障应急状态可以手动控制传递窗启停。 11、内部照明系统：传递窗内部安装LED灯光源，采用智能节能控制，消毒完成时灯亮，取出物品后自动熄灭，便于观察消毒物品状态。 12、壳体材质力学性能要求：壳体材质为SUS304不锈钢，其抗拉强度Rm、规定塑性延伸强度 RP0.2、断后伸长率A、维氏硬度等均应符合GB/T3280-2015《不锈钢冷轧钢板和钢带》要求，即抗拉强度Rm≥515MPa，规定塑性延伸强度 RP0.2≥205MPa，断后伸长率A≥40%，维氏硬度≤210HV。提供第三方检测机构出具的带CMA认证的整机检测报告复印件（加盖供应商公章），需体现且满足上述数值要求。 13、控制方式：采用DDC控制,≥5寸彩色触摸屏，可单独设置消毒、自净时间，并具有操作权限保护功能。 14、制造商要求：制造商应通过ISO9001质量管理体系认证、环境管理体系认证证书、职业健康安全管理体系认证、商品售后服务认证证书，提供证书复印件（加盖供应商公章）。 15、供应商所投产品应可用于动物实验室外排废气的净化处理，产品名称供应商可自主命名。</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pPr>
            <w:r>
              <w:rPr>
                <w:rFonts w:ascii="仿宋_GB2312" w:hAnsi="仿宋_GB2312" w:cs="仿宋_GB2312" w:eastAsia="仿宋_GB2312"/>
              </w:rPr>
              <w:t>无油空压机 1、气罐容量：≥30L 2、排气量量：≥60L/min 3、压力：≦7.0Bart 4、功率：≤0.75Kw 5、转速：1380r/min 6、无油电机</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pPr>
            <w:r>
              <w:rPr>
                <w:rFonts w:ascii="仿宋_GB2312" w:hAnsi="仿宋_GB2312" w:cs="仿宋_GB2312" w:eastAsia="仿宋_GB2312"/>
              </w:rPr>
              <w:t>负压换料台 1、外形尺寸：≤1100×800×1950mm （L*W*H） 2、功率：≤0.75kw 3、材料：304不锈钢 4、采用静压管道风机 5、电源：220V 50Hz 6、漩涡式负压风机为纯铜电机，排风机功率≤45w，排风量≥400m³/h 7、围护顶部的排风机，和外接管道连接，排风道底部在台面上有吸气口，使操作台面行成负压 8、控制系统在操作时先启动排风机再启动气动漩涡式负压风机。开启紫外线对上围护内环境进行消毒工作</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pPr>
            <w:r>
              <w:rPr>
                <w:rFonts w:ascii="仿宋_GB2312" w:hAnsi="仿宋_GB2312" w:cs="仿宋_GB2312" w:eastAsia="仿宋_GB2312"/>
              </w:rPr>
              <w:t>隔离检疫笼具 1、洁净度：100@&gt;0.5µm 2、送风风机：≥400m³/h*2 台 3、噪音：≤65db（A） 4、外形尺寸：≤2000*720*1910mm 5、功率：≤1.5kw 6、材料：304不锈钢 7、可饲养大鼠笼15个或者小鼠笼30个</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pPr>
            <w:r>
              <w:rPr>
                <w:rFonts w:ascii="仿宋_GB2312" w:hAnsi="仿宋_GB2312" w:cs="仿宋_GB2312" w:eastAsia="仿宋_GB2312"/>
              </w:rPr>
              <w:t>风淋室 1、通过尺寸：≥900×1100×1980mm (L×W×H)（参考尺寸） 2、高效过滤器过滤效率：≥95% 3、风淋时间：0—99s 可调 4、喷嘴出口风速：≥20m/s 5、功率：约 2.3Kw 6、设备电压：220V/50Hz</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设备到货验收合格后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①质量保修范围：按照本项目合同内容执行。②保修期：设备保修期两年。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按照本项目合同内容执行。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1.成交供应商在中标（成交）结果公告结束后3个工作日内向采购代理机构提供纸质版响应文件正本一份，副本二份，电子U盘一份（响应文件内容与电子版一致）。 2.本项目核心产品为“5 动物实验室除臭设备”。 3.本项目参数中未带“★”项的参数需求可以负偏离。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2.提供2024年4月至今已缴纳的至少一个月的纳税证明或完税证明（任意税种），依法免税的单位应提供相关证明材料。 3.提供2024年4月至今已缴纳的至少一个月的社会保障资金缴存凭证或社保机构开具的社会保险参保证明，依法不需要缴纳社会保障资金的单位应提供相关证明材料。 4.提供具有履行合同所必需的设备和专业技术能力的承诺声明。 5.提供参加政府采购活动前3年内，在经营活动中没有重大违法记录的书面声明。供应商需在项目电子化交易系统中按要求上传相应证明文件并进行电子签章。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财务报告（成立时间至响应文件递交截止时间不足一年的可提供成立后任意时段的资产负债表）或响应文件递交截止时间前六个月内其基本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不得为中国政府采购网(wmw.ccs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其他应说明的事项.docx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法定代表人直接参加竞争性谈判的，须出具法定代表人身份证明书；法定代表人授权代表参加竞争性谈判的，须出具法定代表人授权委托书。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中小企业声明函 商务应答表 报价表 供应商承诺书.docx 响应文件封面 产品技术参数表 其他应说明的事项.docx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谈判响应文件的签字盖章</w:t>
            </w:r>
          </w:p>
        </w:tc>
        <w:tc>
          <w:tcPr>
            <w:tcW w:type="dxa" w:w="3322"/>
          </w:tcPr>
          <w:p>
            <w:pPr>
              <w:pStyle w:val="null3"/>
            </w:pPr>
            <w:r>
              <w:rPr>
                <w:rFonts w:ascii="仿宋_GB2312" w:hAnsi="仿宋_GB2312" w:cs="仿宋_GB2312" w:eastAsia="仿宋_GB2312"/>
              </w:rPr>
              <w:t>响应文件的签字盖章符合谈判文件要求。</w:t>
            </w:r>
          </w:p>
        </w:tc>
        <w:tc>
          <w:tcPr>
            <w:tcW w:type="dxa" w:w="1661"/>
          </w:tcPr>
          <w:p>
            <w:pPr>
              <w:pStyle w:val="null3"/>
            </w:pPr>
            <w:r>
              <w:rPr>
                <w:rFonts w:ascii="仿宋_GB2312" w:hAnsi="仿宋_GB2312" w:cs="仿宋_GB2312" w:eastAsia="仿宋_GB2312"/>
              </w:rPr>
              <w:t>中小企业声明函 商务应答表 报价表 供应商承诺书.docx 响应文件封面 产品技术参数表 其他应说明的事项.docx 残疾人福利性单位声明函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响应报价不超过预算和最高限价。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响应有效期满足谈判文件要求</w:t>
            </w:r>
          </w:p>
        </w:tc>
        <w:tc>
          <w:tcPr>
            <w:tcW w:type="dxa" w:w="1661"/>
          </w:tcPr>
          <w:p>
            <w:pPr>
              <w:pStyle w:val="null3"/>
            </w:pPr>
            <w:r>
              <w:rPr>
                <w:rFonts w:ascii="仿宋_GB2312" w:hAnsi="仿宋_GB2312" w:cs="仿宋_GB2312" w:eastAsia="仿宋_GB2312"/>
              </w:rPr>
              <w:t>响应文件封面 商务应答表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技术及商务响应</w:t>
            </w:r>
          </w:p>
        </w:tc>
        <w:tc>
          <w:tcPr>
            <w:tcW w:type="dxa" w:w="3322"/>
          </w:tcPr>
          <w:p>
            <w:pPr>
              <w:pStyle w:val="null3"/>
            </w:pPr>
            <w:r>
              <w:rPr>
                <w:rFonts w:ascii="仿宋_GB2312" w:hAnsi="仿宋_GB2312" w:cs="仿宋_GB2312" w:eastAsia="仿宋_GB2312"/>
              </w:rPr>
              <w:t>技术参数中带“★”的参数需求为实质性要求，供应商必须响应并满足；未带“★”的参数需求可以负偏离，商务要求的项须符合谈判文件要求。</w:t>
            </w:r>
          </w:p>
        </w:tc>
        <w:tc>
          <w:tcPr>
            <w:tcW w:type="dxa" w:w="1661"/>
          </w:tcPr>
          <w:p>
            <w:pPr>
              <w:pStyle w:val="null3"/>
            </w:pPr>
            <w:r>
              <w:rPr>
                <w:rFonts w:ascii="仿宋_GB2312" w:hAnsi="仿宋_GB2312" w:cs="仿宋_GB2312" w:eastAsia="仿宋_GB2312"/>
              </w:rPr>
              <w:t>响应文件封面 产品技术参数表 商务应答表 标的清单 报价表 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按照最后报价由低到高的顺序推荐；报价相同的，按照技术指标优劣顺序推荐；最后报价且技术指标均相同的，成交候选供应商并列。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