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95E86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360" w:lineRule="auto"/>
        <w:jc w:val="center"/>
        <w:textAlignment w:val="auto"/>
        <w:rPr>
          <w:rFonts w:hint="eastAsia" w:hAnsi="宋体" w:cs="宋体"/>
          <w:sz w:val="32"/>
          <w:szCs w:val="32"/>
          <w:highlight w:val="none"/>
        </w:rPr>
      </w:pPr>
      <w:bookmarkStart w:id="0" w:name="_Toc6820"/>
      <w:bookmarkStart w:id="1" w:name="_Toc23008"/>
      <w:r>
        <w:rPr>
          <w:rFonts w:hint="eastAsia" w:ascii="仿宋" w:hAnsi="仿宋" w:eastAsia="仿宋" w:cs="仿宋"/>
          <w:sz w:val="36"/>
          <w:szCs w:val="36"/>
          <w:highlight w:val="none"/>
        </w:rPr>
        <w:t>拟签订的合同</w:t>
      </w:r>
      <w:bookmarkEnd w:id="0"/>
      <w:bookmarkEnd w:id="1"/>
    </w:p>
    <w:p w14:paraId="7459AF50">
      <w:pPr>
        <w:pStyle w:val="7"/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甲方（采购人）：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 w14:paraId="28F001F3">
      <w:pPr>
        <w:pStyle w:val="7"/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32"/>
          <w:szCs w:val="32"/>
        </w:rPr>
        <w:t>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 w14:paraId="59529F0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根据《中华人民共和国民法典》和《中华人民共和国政府采购法》有关规定，结合项目实际，经甲、乙双方协商，签订本合同，共同信守。</w:t>
      </w:r>
    </w:p>
    <w:p w14:paraId="1C633E17">
      <w:pPr>
        <w:spacing w:line="360" w:lineRule="auto"/>
        <w:contextualSpacing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一、合同价款</w:t>
      </w:r>
    </w:p>
    <w:p w14:paraId="50A11A14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（一）合同总价款</w:t>
      </w:r>
      <w:r>
        <w:rPr>
          <w:rFonts w:hint="eastAsia" w:ascii="仿宋" w:hAnsi="仿宋" w:eastAsia="仿宋" w:cs="仿宋"/>
          <w:spacing w:val="4"/>
          <w:sz w:val="32"/>
          <w:szCs w:val="32"/>
        </w:rPr>
        <w:t>(人民币/元)</w:t>
      </w:r>
    </w:p>
    <w:tbl>
      <w:tblPr>
        <w:tblStyle w:val="9"/>
        <w:tblW w:w="935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400"/>
        <w:gridCol w:w="1082"/>
        <w:gridCol w:w="1391"/>
        <w:gridCol w:w="682"/>
        <w:gridCol w:w="681"/>
        <w:gridCol w:w="762"/>
        <w:gridCol w:w="785"/>
        <w:gridCol w:w="1153"/>
      </w:tblGrid>
      <w:tr w14:paraId="1F8CF3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1419" w:type="dxa"/>
            <w:noWrap w:val="0"/>
            <w:vAlign w:val="center"/>
          </w:tcPr>
          <w:p w14:paraId="2BB03521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名称</w:t>
            </w:r>
          </w:p>
        </w:tc>
        <w:tc>
          <w:tcPr>
            <w:tcW w:w="1400" w:type="dxa"/>
            <w:noWrap w:val="0"/>
            <w:vAlign w:val="center"/>
          </w:tcPr>
          <w:p w14:paraId="554DEAFF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品牌</w:t>
            </w:r>
          </w:p>
        </w:tc>
        <w:tc>
          <w:tcPr>
            <w:tcW w:w="1082" w:type="dxa"/>
            <w:noWrap w:val="0"/>
            <w:vAlign w:val="center"/>
          </w:tcPr>
          <w:p w14:paraId="0F4533D9">
            <w:pPr>
              <w:spacing w:before="66" w:line="23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制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造商</w:t>
            </w:r>
          </w:p>
        </w:tc>
        <w:tc>
          <w:tcPr>
            <w:tcW w:w="1391" w:type="dxa"/>
            <w:noWrap w:val="0"/>
            <w:vAlign w:val="center"/>
          </w:tcPr>
          <w:p w14:paraId="429A1D16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规格型号</w:t>
            </w:r>
          </w:p>
        </w:tc>
        <w:tc>
          <w:tcPr>
            <w:tcW w:w="682" w:type="dxa"/>
            <w:noWrap w:val="0"/>
            <w:vAlign w:val="center"/>
          </w:tcPr>
          <w:p w14:paraId="6C97EAE0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位</w:t>
            </w:r>
          </w:p>
        </w:tc>
        <w:tc>
          <w:tcPr>
            <w:tcW w:w="681" w:type="dxa"/>
            <w:noWrap w:val="0"/>
            <w:vAlign w:val="center"/>
          </w:tcPr>
          <w:p w14:paraId="7525B714">
            <w:pPr>
              <w:spacing w:before="65" w:line="232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2"/>
                <w:sz w:val="32"/>
                <w:szCs w:val="32"/>
              </w:rPr>
              <w:t>数量</w:t>
            </w:r>
          </w:p>
        </w:tc>
        <w:tc>
          <w:tcPr>
            <w:tcW w:w="762" w:type="dxa"/>
            <w:noWrap w:val="0"/>
            <w:vAlign w:val="center"/>
          </w:tcPr>
          <w:p w14:paraId="7F9A129C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价</w:t>
            </w:r>
          </w:p>
        </w:tc>
        <w:tc>
          <w:tcPr>
            <w:tcW w:w="785" w:type="dxa"/>
            <w:noWrap w:val="0"/>
            <w:vAlign w:val="center"/>
          </w:tcPr>
          <w:p w14:paraId="4EB360BD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合计</w:t>
            </w:r>
          </w:p>
        </w:tc>
        <w:tc>
          <w:tcPr>
            <w:tcW w:w="1153" w:type="dxa"/>
            <w:noWrap w:val="0"/>
            <w:vAlign w:val="center"/>
          </w:tcPr>
          <w:p w14:paraId="3561D586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质</w:t>
            </w:r>
            <w:r>
              <w:rPr>
                <w:rFonts w:hint="eastAsia" w:ascii="仿宋" w:hAnsi="仿宋" w:eastAsia="仿宋" w:cs="仿宋"/>
                <w:spacing w:val="3"/>
                <w:sz w:val="32"/>
                <w:szCs w:val="32"/>
              </w:rPr>
              <w:t>保期</w:t>
            </w:r>
          </w:p>
        </w:tc>
      </w:tr>
      <w:tr w14:paraId="4D400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419" w:type="dxa"/>
            <w:noWrap w:val="0"/>
            <w:vAlign w:val="top"/>
          </w:tcPr>
          <w:p w14:paraId="13C6944A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400" w:type="dxa"/>
            <w:noWrap w:val="0"/>
            <w:vAlign w:val="top"/>
          </w:tcPr>
          <w:p w14:paraId="7DD50018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082" w:type="dxa"/>
            <w:noWrap w:val="0"/>
            <w:vAlign w:val="top"/>
          </w:tcPr>
          <w:p w14:paraId="524961C6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391" w:type="dxa"/>
            <w:noWrap w:val="0"/>
            <w:vAlign w:val="top"/>
          </w:tcPr>
          <w:p w14:paraId="0420A6B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2" w:type="dxa"/>
            <w:noWrap w:val="0"/>
            <w:vAlign w:val="top"/>
          </w:tcPr>
          <w:p w14:paraId="17421045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1" w:type="dxa"/>
            <w:noWrap w:val="0"/>
            <w:vAlign w:val="top"/>
          </w:tcPr>
          <w:p w14:paraId="19C47C81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62" w:type="dxa"/>
            <w:noWrap w:val="0"/>
            <w:vAlign w:val="top"/>
          </w:tcPr>
          <w:p w14:paraId="5BBAADD1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85" w:type="dxa"/>
            <w:noWrap w:val="0"/>
            <w:vAlign w:val="top"/>
          </w:tcPr>
          <w:p w14:paraId="66C1C4B7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153" w:type="dxa"/>
            <w:noWrap w:val="0"/>
            <w:vAlign w:val="top"/>
          </w:tcPr>
          <w:p w14:paraId="648CF22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</w:tr>
      <w:tr w14:paraId="50A55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419" w:type="dxa"/>
            <w:noWrap w:val="0"/>
            <w:vAlign w:val="top"/>
          </w:tcPr>
          <w:p w14:paraId="7EAA05E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400" w:type="dxa"/>
            <w:noWrap w:val="0"/>
            <w:vAlign w:val="top"/>
          </w:tcPr>
          <w:p w14:paraId="7B15DCE5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082" w:type="dxa"/>
            <w:noWrap w:val="0"/>
            <w:vAlign w:val="top"/>
          </w:tcPr>
          <w:p w14:paraId="669CF5E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391" w:type="dxa"/>
            <w:noWrap w:val="0"/>
            <w:vAlign w:val="top"/>
          </w:tcPr>
          <w:p w14:paraId="6F025177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2" w:type="dxa"/>
            <w:noWrap w:val="0"/>
            <w:vAlign w:val="top"/>
          </w:tcPr>
          <w:p w14:paraId="5F1DCB2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1" w:type="dxa"/>
            <w:noWrap w:val="0"/>
            <w:vAlign w:val="top"/>
          </w:tcPr>
          <w:p w14:paraId="32E81C49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62" w:type="dxa"/>
            <w:noWrap w:val="0"/>
            <w:vAlign w:val="top"/>
          </w:tcPr>
          <w:p w14:paraId="7DEF35E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85" w:type="dxa"/>
            <w:noWrap w:val="0"/>
            <w:vAlign w:val="top"/>
          </w:tcPr>
          <w:p w14:paraId="3E29458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153" w:type="dxa"/>
            <w:noWrap w:val="0"/>
            <w:vAlign w:val="top"/>
          </w:tcPr>
          <w:p w14:paraId="60CCD6BB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</w:tr>
      <w:tr w14:paraId="089FF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  <w:jc w:val="center"/>
        </w:trPr>
        <w:tc>
          <w:tcPr>
            <w:tcW w:w="2819" w:type="dxa"/>
            <w:gridSpan w:val="2"/>
            <w:noWrap w:val="0"/>
            <w:vAlign w:val="top"/>
          </w:tcPr>
          <w:p w14:paraId="16926CD8">
            <w:pPr>
              <w:spacing w:before="212" w:line="231" w:lineRule="auto"/>
              <w:ind w:left="131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8"/>
                <w:sz w:val="32"/>
                <w:szCs w:val="32"/>
              </w:rPr>
              <w:t>总</w:t>
            </w:r>
            <w:r>
              <w:rPr>
                <w:rFonts w:hint="eastAsia" w:ascii="仿宋" w:hAnsi="仿宋" w:eastAsia="仿宋" w:cs="仿宋"/>
                <w:spacing w:val="7"/>
                <w:sz w:val="32"/>
                <w:szCs w:val="32"/>
              </w:rPr>
              <w:t>价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：</w:t>
            </w:r>
          </w:p>
        </w:tc>
        <w:tc>
          <w:tcPr>
            <w:tcW w:w="6536" w:type="dxa"/>
            <w:gridSpan w:val="7"/>
            <w:noWrap w:val="0"/>
            <w:vAlign w:val="top"/>
          </w:tcPr>
          <w:p w14:paraId="56574B79">
            <w:pPr>
              <w:spacing w:before="56" w:line="36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1"/>
                <w:position w:val="7"/>
                <w:sz w:val="32"/>
                <w:szCs w:val="32"/>
              </w:rPr>
              <w:t>大</w:t>
            </w:r>
            <w:r>
              <w:rPr>
                <w:rFonts w:hint="eastAsia" w:ascii="仿宋" w:hAnsi="仿宋" w:eastAsia="仿宋" w:cs="仿宋"/>
                <w:position w:val="7"/>
                <w:sz w:val="32"/>
                <w:szCs w:val="32"/>
              </w:rPr>
              <w:t>写：</w:t>
            </w:r>
          </w:p>
          <w:p w14:paraId="3F9017B8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小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写：</w:t>
            </w:r>
          </w:p>
        </w:tc>
      </w:tr>
    </w:tbl>
    <w:p w14:paraId="69C816F6">
      <w:pPr>
        <w:autoSpaceDE w:val="0"/>
        <w:autoSpaceDN w:val="0"/>
        <w:adjustRightInd w:val="0"/>
        <w:snapToGrid w:val="0"/>
        <w:spacing w:line="60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合同总价</w:t>
      </w:r>
      <w:r>
        <w:rPr>
          <w:rFonts w:hint="eastAsia" w:ascii="仿宋" w:hAnsi="仿宋" w:eastAsia="仿宋" w:cs="仿宋"/>
          <w:spacing w:val="5"/>
          <w:sz w:val="32"/>
          <w:szCs w:val="32"/>
          <w:highlight w:val="none"/>
        </w:rPr>
        <w:t>总价款</w:t>
      </w:r>
      <w:r>
        <w:rPr>
          <w:rFonts w:hint="eastAsia" w:ascii="仿宋" w:hAnsi="仿宋" w:eastAsia="仿宋" w:cs="仿宋"/>
          <w:sz w:val="32"/>
          <w:szCs w:val="32"/>
        </w:rPr>
        <w:t>包括：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B119603">
      <w:pPr>
        <w:autoSpaceDE w:val="0"/>
        <w:autoSpaceDN w:val="0"/>
        <w:adjustRightInd w:val="0"/>
        <w:snapToGrid w:val="0"/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合同总价一次性包死，不受市场价格变化因素的影响。</w:t>
      </w:r>
    </w:p>
    <w:p w14:paraId="62C54D46">
      <w:pPr>
        <w:spacing w:before="182" w:line="360" w:lineRule="auto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pacing w:val="7"/>
          <w:position w:val="1"/>
          <w:sz w:val="32"/>
          <w:szCs w:val="32"/>
          <w:highlight w:val="none"/>
        </w:rPr>
        <w:t>二</w:t>
      </w:r>
      <w:r>
        <w:rPr>
          <w:rFonts w:ascii="仿宋" w:hAnsi="仿宋" w:eastAsia="仿宋" w:cs="仿宋"/>
          <w:b/>
          <w:bCs/>
          <w:spacing w:val="7"/>
          <w:position w:val="1"/>
          <w:sz w:val="32"/>
          <w:szCs w:val="32"/>
          <w:highlight w:val="none"/>
        </w:rPr>
        <w:t>、款项结算</w:t>
      </w:r>
    </w:p>
    <w:p w14:paraId="1E98840A">
      <w:pPr>
        <w:autoSpaceDE w:val="0"/>
        <w:autoSpaceDN w:val="0"/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合同签订后，达到付款条件起10日内，支付合同总金额的40.00%。</w:t>
      </w:r>
      <w:bookmarkStart w:id="2" w:name="_GoBack"/>
      <w:bookmarkEnd w:id="2"/>
    </w:p>
    <w:p w14:paraId="00D84C06">
      <w:pPr>
        <w:autoSpaceDE w:val="0"/>
        <w:autoSpaceDN w:val="0"/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设备到货验收合格后，达到付款条件起10日内，支付合同总金额的60.00%。</w:t>
      </w:r>
    </w:p>
    <w:p w14:paraId="69D2503E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三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、交货条件</w:t>
      </w:r>
    </w:p>
    <w:p w14:paraId="24365876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  <w:highlight w:val="none"/>
        </w:rPr>
        <w:t>交货地点</w:t>
      </w:r>
      <w:r>
        <w:rPr>
          <w:rFonts w:ascii="仿宋" w:hAnsi="仿宋" w:eastAsia="仿宋" w:cs="仿宋"/>
          <w:b/>
          <w:bCs/>
          <w:spacing w:val="8"/>
          <w:sz w:val="32"/>
          <w:szCs w:val="32"/>
          <w:highlight w:val="none"/>
        </w:rPr>
        <w:t>: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采购人指定地点  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</w:t>
      </w:r>
    </w:p>
    <w:p w14:paraId="3790E6CD">
      <w:pPr>
        <w:spacing w:before="2" w:line="375" w:lineRule="auto"/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（二）</w:t>
      </w:r>
      <w:r>
        <w:rPr>
          <w:rFonts w:ascii="仿宋" w:hAnsi="仿宋" w:eastAsia="仿宋" w:cs="仿宋"/>
          <w:spacing w:val="8"/>
          <w:sz w:val="32"/>
          <w:szCs w:val="32"/>
          <w:highlight w:val="none"/>
        </w:rPr>
        <w:t>交货期：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30日历天    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</w:t>
      </w:r>
    </w:p>
    <w:p w14:paraId="10DB0E96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四、双方权力和义务</w:t>
      </w:r>
    </w:p>
    <w:p w14:paraId="2BC680C3">
      <w:pPr>
        <w:pStyle w:val="12"/>
        <w:spacing w:line="360" w:lineRule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（一）甲方的权利和义务</w:t>
      </w:r>
    </w:p>
    <w:p w14:paraId="1D3AC561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请求乙方按照合同约定履行义务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按照合同约定履行自己的义务；</w:t>
      </w:r>
    </w:p>
    <w:p w14:paraId="1EF9F74E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                                </w:t>
      </w:r>
    </w:p>
    <w:p w14:paraId="468DD741">
      <w:pPr>
        <w:pStyle w:val="12"/>
        <w:spacing w:line="360" w:lineRule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（二）乙方的权利和义务</w:t>
      </w:r>
    </w:p>
    <w:p w14:paraId="59E9910D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请求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甲方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按照合同约定履行义务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按照合同约定履行自己的义务；                   </w:t>
      </w:r>
    </w:p>
    <w:p w14:paraId="5499BD29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                                 </w:t>
      </w:r>
    </w:p>
    <w:p w14:paraId="132A7D13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五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、违约责任</w:t>
      </w:r>
    </w:p>
    <w:p w14:paraId="103C2CC7">
      <w:pPr>
        <w:spacing w:before="2" w:line="375" w:lineRule="auto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</w:rPr>
        <w:t>按《中华人民共和国民法典》中的相关条款执行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；</w:t>
      </w:r>
    </w:p>
    <w:p w14:paraId="5AB35275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                </w:t>
      </w:r>
    </w:p>
    <w:p w14:paraId="61A38D7C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六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、验收</w:t>
      </w:r>
    </w:p>
    <w:p w14:paraId="5B0D2D36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-8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</w:t>
      </w:r>
    </w:p>
    <w:p w14:paraId="359FAEB0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-8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</w:t>
      </w:r>
    </w:p>
    <w:p w14:paraId="73E5BD87">
      <w:pPr>
        <w:numPr>
          <w:ilvl w:val="0"/>
          <w:numId w:val="0"/>
        </w:numPr>
        <w:spacing w:before="2" w:line="375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>七、</w:t>
      </w:r>
      <w:r>
        <w:rPr>
          <w:rFonts w:hint="eastAsia" w:ascii="仿宋" w:hAnsi="仿宋" w:eastAsia="仿宋" w:cs="仿宋"/>
          <w:b/>
          <w:sz w:val="32"/>
          <w:szCs w:val="32"/>
        </w:rPr>
        <w:t>合同争议</w:t>
      </w:r>
    </w:p>
    <w:p w14:paraId="349A292D">
      <w:pPr>
        <w:spacing w:before="2" w:line="375" w:lineRule="auto"/>
        <w:ind w:firstLine="672" w:firstLineChars="200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本合同在履行过程中发生的争议</w:t>
      </w:r>
      <w:r>
        <w:rPr>
          <w:rFonts w:hint="eastAsia" w:ascii="仿宋" w:hAnsi="仿宋" w:eastAsia="仿宋" w:cs="仿宋"/>
          <w:spacing w:val="8"/>
          <w:sz w:val="32"/>
          <w:szCs w:val="32"/>
        </w:rPr>
        <w:t>的</w:t>
      </w:r>
      <w:r>
        <w:rPr>
          <w:rFonts w:ascii="仿宋" w:hAnsi="仿宋" w:eastAsia="仿宋" w:cs="仿宋"/>
          <w:spacing w:val="8"/>
          <w:sz w:val="32"/>
          <w:szCs w:val="32"/>
        </w:rPr>
        <w:t>，由甲、乙方协商解决；协商或不成的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，</w:t>
      </w:r>
      <w:r>
        <w:rPr>
          <w:rFonts w:ascii="仿宋" w:hAnsi="仿宋" w:eastAsia="仿宋" w:cs="仿宋"/>
          <w:spacing w:val="8"/>
          <w:sz w:val="32"/>
          <w:szCs w:val="32"/>
        </w:rPr>
        <w:t>依法向甲方所在地人民法院起诉解决</w:t>
      </w:r>
      <w:r>
        <w:rPr>
          <w:rFonts w:hint="eastAsia" w:ascii="仿宋" w:hAnsi="仿宋" w:eastAsia="仿宋" w:cs="仿宋"/>
          <w:spacing w:val="8"/>
          <w:sz w:val="32"/>
          <w:szCs w:val="32"/>
        </w:rPr>
        <w:t>。</w:t>
      </w:r>
    </w:p>
    <w:p w14:paraId="5793F2C1">
      <w:pPr>
        <w:autoSpaceDE w:val="0"/>
        <w:autoSpaceDN w:val="0"/>
        <w:snapToGrid w:val="0"/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sz w:val="32"/>
          <w:szCs w:val="32"/>
        </w:rPr>
        <w:t>、合同生效</w:t>
      </w:r>
    </w:p>
    <w:p w14:paraId="3E41D8BE">
      <w:pPr>
        <w:spacing w:line="360" w:lineRule="auto"/>
        <w:ind w:firstLine="640" w:firstLineChars="200"/>
        <w:contextualSpacing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</w:rPr>
        <w:t>合同未尽事宜，由甲、乙双方协商，</w:t>
      </w:r>
      <w:r>
        <w:rPr>
          <w:rFonts w:hint="eastAsia" w:ascii="仿宋" w:hAnsi="仿宋" w:eastAsia="仿宋" w:cs="仿宋"/>
          <w:sz w:val="32"/>
          <w:szCs w:val="32"/>
        </w:rPr>
        <w:t>招标文件、乙方的投标文件及评标过程中的澄清、承诺内容均作为本合同的组成部分，具有同等法律效力。</w:t>
      </w:r>
      <w:r>
        <w:rPr>
          <w:rFonts w:ascii="仿宋" w:hAnsi="仿宋" w:eastAsia="仿宋" w:cs="仿宋"/>
          <w:spacing w:val="8"/>
          <w:sz w:val="32"/>
          <w:szCs w:val="32"/>
        </w:rPr>
        <w:t>另行签订补充合同，为本合同有效组成部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分</w:t>
      </w:r>
      <w:r>
        <w:rPr>
          <w:rFonts w:ascii="仿宋" w:hAnsi="仿宋" w:eastAsia="仿宋" w:cs="仿宋"/>
          <w:spacing w:val="8"/>
          <w:sz w:val="32"/>
          <w:szCs w:val="32"/>
        </w:rPr>
        <w:t>。</w:t>
      </w:r>
    </w:p>
    <w:p w14:paraId="5FE91F15">
      <w:pPr>
        <w:spacing w:before="2" w:line="360" w:lineRule="auto"/>
        <w:ind w:firstLine="640" w:firstLineChars="200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ascii="仿宋" w:hAnsi="仿宋" w:eastAsia="仿宋" w:cs="仿宋"/>
          <w:spacing w:val="8"/>
          <w:sz w:val="32"/>
          <w:szCs w:val="32"/>
        </w:rPr>
        <w:t>本合同一式</w:t>
      </w:r>
      <w:r>
        <w:rPr>
          <w:rFonts w:hint="eastAsia" w:ascii="仿宋" w:hAnsi="仿宋" w:eastAsia="仿宋" w:cs="仿宋"/>
          <w:spacing w:val="8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pacing w:val="8"/>
          <w:sz w:val="32"/>
          <w:szCs w:val="32"/>
        </w:rPr>
        <w:t>份，甲方、乙方各执</w:t>
      </w:r>
      <w:r>
        <w:rPr>
          <w:rFonts w:hint="eastAsia" w:ascii="仿宋" w:hAnsi="仿宋" w:eastAsia="仿宋" w:cs="仿宋"/>
          <w:spacing w:val="8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pacing w:val="8"/>
          <w:sz w:val="32"/>
          <w:szCs w:val="32"/>
        </w:rPr>
        <w:t>份。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双</w:t>
      </w:r>
      <w:r>
        <w:rPr>
          <w:rFonts w:ascii="仿宋" w:hAnsi="仿宋" w:eastAsia="仿宋" w:cs="仿宋"/>
          <w:spacing w:val="8"/>
          <w:sz w:val="32"/>
          <w:szCs w:val="32"/>
        </w:rPr>
        <w:t>方签字盖章后生效。</w:t>
      </w:r>
    </w:p>
    <w:p w14:paraId="7E9D2F0A">
      <w:pPr>
        <w:pStyle w:val="6"/>
        <w:ind w:firstLine="0" w:firstLineChars="0"/>
        <w:rPr>
          <w:rFonts w:hint="eastAsia"/>
          <w:highlight w:val="yellow"/>
        </w:rPr>
      </w:pPr>
    </w:p>
    <w:tbl>
      <w:tblPr>
        <w:tblStyle w:val="9"/>
        <w:tblW w:w="89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3"/>
        <w:gridCol w:w="4276"/>
      </w:tblGrid>
      <w:tr w14:paraId="1FC72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6D4BCA8B">
            <w:pPr>
              <w:pStyle w:val="8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br w:type="page"/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甲 方：</w:t>
            </w:r>
          </w:p>
        </w:tc>
        <w:tc>
          <w:tcPr>
            <w:tcW w:w="4276" w:type="dxa"/>
            <w:noWrap w:val="0"/>
            <w:vAlign w:val="center"/>
          </w:tcPr>
          <w:p w14:paraId="567DA66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乙 方：</w:t>
            </w:r>
          </w:p>
        </w:tc>
      </w:tr>
      <w:tr w14:paraId="5F3EE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1A3AAB5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地址： </w:t>
            </w:r>
          </w:p>
        </w:tc>
        <w:tc>
          <w:tcPr>
            <w:tcW w:w="4276" w:type="dxa"/>
            <w:noWrap w:val="0"/>
            <w:vAlign w:val="center"/>
          </w:tcPr>
          <w:p w14:paraId="4D3470F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地址：</w:t>
            </w:r>
          </w:p>
        </w:tc>
      </w:tr>
      <w:tr w14:paraId="061A4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1E4DA0C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法定代表人： </w:t>
            </w:r>
          </w:p>
        </w:tc>
        <w:tc>
          <w:tcPr>
            <w:tcW w:w="4276" w:type="dxa"/>
            <w:noWrap w:val="0"/>
            <w:vAlign w:val="center"/>
          </w:tcPr>
          <w:p w14:paraId="1DF336B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法定代表人：</w:t>
            </w:r>
          </w:p>
        </w:tc>
      </w:tr>
      <w:tr w14:paraId="709CD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531014F8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  <w:tc>
          <w:tcPr>
            <w:tcW w:w="4276" w:type="dxa"/>
            <w:noWrap w:val="0"/>
            <w:vAlign w:val="center"/>
          </w:tcPr>
          <w:p w14:paraId="61E937F2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</w:tr>
      <w:tr w14:paraId="06C23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532BD53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  <w:tc>
          <w:tcPr>
            <w:tcW w:w="4276" w:type="dxa"/>
            <w:noWrap w:val="0"/>
            <w:vAlign w:val="center"/>
          </w:tcPr>
          <w:p w14:paraId="4C50CD55">
            <w:pPr>
              <w:autoSpaceDE w:val="0"/>
              <w:autoSpaceDN w:val="0"/>
              <w:adjustRightInd w:val="0"/>
              <w:spacing w:line="360" w:lineRule="auto"/>
              <w:ind w:left="840" w:hanging="840" w:hangingChars="300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</w:tr>
      <w:tr w14:paraId="7CC44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631B170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409F910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开户银行：</w:t>
            </w:r>
          </w:p>
        </w:tc>
      </w:tr>
      <w:tr w14:paraId="31C54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79E5FF3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  <w:tc>
          <w:tcPr>
            <w:tcW w:w="4276" w:type="dxa"/>
            <w:noWrap w:val="0"/>
            <w:vAlign w:val="center"/>
          </w:tcPr>
          <w:p w14:paraId="3DEF724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</w:tr>
    </w:tbl>
    <w:p w14:paraId="09B432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A0F7A"/>
    <w:rsid w:val="1C853CC2"/>
    <w:rsid w:val="491A0F7A"/>
    <w:rsid w:val="496D0009"/>
    <w:rsid w:val="5A7D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paragraph" w:styleId="3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8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649</Words>
  <Characters>666</Characters>
  <Lines>0</Lines>
  <Paragraphs>0</Paragraphs>
  <TotalTime>0</TotalTime>
  <ScaleCrop>false</ScaleCrop>
  <LinksUpToDate>false</LinksUpToDate>
  <CharactersWithSpaces>981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2025-06-04T01:14:00Z</dcterms:created>
  <dc:creator>路...一直都在</dc:creator>
  <cp:lastModifiedBy>W</cp:lastModifiedBy>
  <dcterms:modified xsi:type="dcterms:W3CDTF">2025-06-04T05:30:03Z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86FD46000F6F43469CDDBDF5B554E2C4_13</vt:lpwstr>
  </property>
  <property fmtid="{D5CDD505-2E9C-101B-9397-08002B2CF9AE}" pid="4" name="KSOTemplateDocerSaveRecord">
    <vt:lpwstr>eyJoZGlkIjoiYmNhMWExYTExNWE4YjUxOTNiNmI5NTYwOWZmNjZlYjkiLCJ1c2VySWQiOiI5MzQxODUwOTkifQ==</vt:lpwstr>
  </property>
</Properties>
</file>