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版本号：YC255280o5（CGQ）20250605001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2025年秦汉大道灞河桥在线监测服务项目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YC255280o5（CGQ）</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2025年秦汉大道灞河桥在线监测服务项目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YC255280o5（CGQ）</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2025年秦汉大道灞河桥在线监测服务项目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对秦汉大道灞河桥结构在线监测设备定期检查、保养；对出现的设备损坏和失效进行及时的维修和更换；协同系统软件和硬件设备的调试和运营；对监测数据的值守查看、分析、研判，定期编制监测报告；监测数据及设备异常的应急检查和处置，确保监测设备正常工作、监测数据有效、做到桥梁运行隐患“早发现、早预警、早处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1、资质证书：供应商须具备交通运输部公路工程试验检测综合甲级或桥梁隧道工程专项资质，且同时具备省级及以上质量技术监督部门颁发的CMA 计量认证证书</w:t>
      </w:r>
    </w:p>
    <w:p>
      <w:pPr>
        <w:pStyle w:val="null3"/>
      </w:pPr>
      <w:r>
        <w:rPr>
          <w:rFonts w:ascii="仿宋_GB2312" w:hAnsi="仿宋_GB2312" w:cs="仿宋_GB2312" w:eastAsia="仿宋_GB2312"/>
        </w:rPr>
        <w:t>2、项目负责人：供应商拟派项目负责人须具有桥梁专业或相近专业的高级职称，同时须具有交通运输部颁发的桥梁试验检测工程师资格证书；</w:t>
      </w:r>
    </w:p>
    <w:p>
      <w:pPr>
        <w:pStyle w:val="null3"/>
      </w:pPr>
      <w:r>
        <w:rPr>
          <w:rFonts w:ascii="仿宋_GB2312" w:hAnsi="仿宋_GB2312" w:cs="仿宋_GB2312" w:eastAsia="仿宋_GB2312"/>
        </w:rPr>
        <w:t>3、法定代表人身份证复印件/法定代表人授权委托书：1)法定代表人参加磋商的，提供法定代表人身份证复印件；2)法定代表人委托代理人参加磋商的，提供法定代表人授权委托书（附法定代表人身份证复印件及被授权委托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西安市二环北路西段29号文景路立交西北角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西安市市政设施管理中心经办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029-87314906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17782558318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代理服务费收费标准：参照《国家计委关于印发&lt;招标代理服务收费管理暂行办法&gt;的通知》（计价格[2002]1980号）规定标准下浮10%按标段收取。 开户名称：亿诚建设项目管理有限公司 开户银行：中国民生银行股份有限公司西安吉祥路支行 账号:699295538 备注：项目编号+采购包号+代理服务费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联系人：刘峰</w:t>
      </w:r>
    </w:p>
    <w:p>
      <w:pPr>
        <w:pStyle w:val="null3"/>
      </w:pPr>
      <w:r>
        <w:rPr>
          <w:rFonts w:ascii="仿宋_GB2312" w:hAnsi="仿宋_GB2312" w:cs="仿宋_GB2312" w:eastAsia="仿宋_GB2312"/>
        </w:rPr>
        <w:t>联系电话：17782558318</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对秦汉大道灞河桥结构在线监测设备定期检查、保养；对出现的设备损坏和失效进行及时的维修和更换；协同系统软件和硬件设备的调试和运营；对监测数据的值守查看、分析、研判，定期编制监测报告；监测数据及设备异常的应急检查和处置，确保监测设备正常工作、监测数据有效、做到桥梁运行隐患“早发现、早预警、早处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2025年秦汉大道灞河桥在线监测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标的名称：2025年秦汉大道灞河桥在线监测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一、项目概况</w:t>
            </w:r>
          </w:p>
          <w:p>
            <w:pPr>
              <w:pStyle w:val="null3"/>
              <w:ind w:firstLine="504"/>
              <w:jc w:val="both"/>
            </w:pPr>
            <w:r>
              <w:rPr>
                <w:rFonts w:ascii="仿宋_GB2312" w:hAnsi="仿宋_GB2312" w:cs="仿宋_GB2312" w:eastAsia="仿宋_GB2312"/>
                <w:sz w:val="24"/>
              </w:rPr>
              <w:t>本项目对秦汉大道灞河桥的结构在线监测设备定期检查、保养；对出现的设备损坏和失效进行及时的维修和更换；协同系统软件和硬件设备的调试和运营；对监测数据的值守查看、分析、研判，定期编制监测报告；监测数据及设备异常的应急检查和处置，确保监测设备正常工作、监测数据有效、做到桥梁运行隐患</w:t>
            </w:r>
            <w:r>
              <w:rPr>
                <w:rFonts w:ascii="仿宋_GB2312" w:hAnsi="仿宋_GB2312" w:cs="仿宋_GB2312" w:eastAsia="仿宋_GB2312"/>
                <w:sz w:val="24"/>
              </w:rPr>
              <w:t>“早发现、早预警、早处置”。</w:t>
            </w:r>
          </w:p>
          <w:p>
            <w:pPr>
              <w:pStyle w:val="null3"/>
              <w:jc w:val="both"/>
            </w:pPr>
            <w:r>
              <w:rPr>
                <w:rFonts w:ascii="仿宋_GB2312" w:hAnsi="仿宋_GB2312" w:cs="仿宋_GB2312" w:eastAsia="仿宋_GB2312"/>
                <w:sz w:val="24"/>
              </w:rPr>
              <w:t>二、监测总体要求</w:t>
            </w:r>
          </w:p>
          <w:p>
            <w:pPr>
              <w:pStyle w:val="null3"/>
              <w:jc w:val="both"/>
            </w:pPr>
            <w:r>
              <w:rPr>
                <w:rFonts w:ascii="仿宋_GB2312" w:hAnsi="仿宋_GB2312" w:cs="仿宋_GB2312" w:eastAsia="仿宋_GB2312"/>
                <w:sz w:val="24"/>
              </w:rPr>
              <w:t>1 、监测目的</w:t>
            </w:r>
          </w:p>
          <w:p>
            <w:pPr>
              <w:pStyle w:val="null3"/>
              <w:ind w:firstLine="504"/>
              <w:jc w:val="both"/>
            </w:pPr>
            <w:r>
              <w:rPr>
                <w:rFonts w:ascii="仿宋_GB2312" w:hAnsi="仿宋_GB2312" w:cs="仿宋_GB2312" w:eastAsia="仿宋_GB2312"/>
                <w:sz w:val="24"/>
              </w:rPr>
              <w:t>1）建立桥梁全寿命期的数字化、信息化“档案”，实现桥梁信息化、智能化管理。</w:t>
            </w:r>
          </w:p>
          <w:p>
            <w:pPr>
              <w:pStyle w:val="null3"/>
              <w:ind w:firstLine="504"/>
              <w:jc w:val="both"/>
            </w:pPr>
            <w:r>
              <w:rPr>
                <w:rFonts w:ascii="仿宋_GB2312" w:hAnsi="仿宋_GB2312" w:cs="仿宋_GB2312" w:eastAsia="仿宋_GB2312"/>
                <w:sz w:val="24"/>
              </w:rPr>
              <w:t>2）结合人工巡检和定期检测，及时发现桥梁安全隐患并预警，有助于确保桥梁运营安全。</w:t>
            </w:r>
          </w:p>
          <w:p>
            <w:pPr>
              <w:pStyle w:val="null3"/>
              <w:ind w:firstLine="504"/>
              <w:jc w:val="both"/>
            </w:pPr>
            <w:r>
              <w:rPr>
                <w:rFonts w:ascii="仿宋_GB2312" w:hAnsi="仿宋_GB2312" w:cs="仿宋_GB2312" w:eastAsia="仿宋_GB2312"/>
                <w:sz w:val="24"/>
              </w:rPr>
              <w:t>3）掌控运营期桥梁的结构运营状态及其发展演化趋势，为制定桥梁管养对策提供数据支持，降低桥梁的运营成本，有助于延长桥梁服役寿命。</w:t>
            </w:r>
          </w:p>
          <w:p>
            <w:pPr>
              <w:pStyle w:val="null3"/>
              <w:jc w:val="both"/>
            </w:pPr>
            <w:r>
              <w:rPr>
                <w:rFonts w:ascii="仿宋_GB2312" w:hAnsi="仿宋_GB2312" w:cs="仿宋_GB2312" w:eastAsia="仿宋_GB2312"/>
                <w:sz w:val="24"/>
              </w:rPr>
              <w:t>2、桥梁概况</w:t>
            </w:r>
          </w:p>
          <w:p>
            <w:pPr>
              <w:pStyle w:val="null3"/>
              <w:ind w:firstLine="504"/>
              <w:jc w:val="both"/>
            </w:pPr>
            <w:r>
              <w:rPr>
                <w:rFonts w:ascii="仿宋_GB2312" w:hAnsi="仿宋_GB2312" w:cs="仿宋_GB2312" w:eastAsia="仿宋_GB2312"/>
                <w:sz w:val="24"/>
              </w:rPr>
              <w:t>秦汉大道灞河桥位于东风路上，桥梁工程起点道路桩号</w:t>
            </w:r>
            <w:r>
              <w:rPr>
                <w:rFonts w:ascii="仿宋_GB2312" w:hAnsi="仿宋_GB2312" w:cs="仿宋_GB2312" w:eastAsia="仿宋_GB2312"/>
                <w:sz w:val="24"/>
              </w:rPr>
              <w:t>K0+334.25，终点道路桩号KO+839.55，桥梁全长 505.3 米。由主桥和东西两侧引桥构成。其中主桥采用两跨半中承式连续系杆拱桥，跨径布置为:2x89.25=178.5 米:东西两侧引桥各为两联，西侧引桥跨径布置为:3x16(第一联)+(4x30+27)(第二联)=163米:东侧引桥跨径布置为:(27-4x30)(第四联)+16(第五联)=163 米:其中第二联、第四联采用装配式预应力混凝土箱型连续梁:第一联、第五联采用采用装配式预应力混凝土空心板简支梁。该桥于2012年12月建成通车。</w:t>
            </w:r>
          </w:p>
          <w:p>
            <w:pPr>
              <w:pStyle w:val="null3"/>
              <w:ind w:firstLine="504"/>
              <w:jc w:val="both"/>
            </w:pPr>
            <w:r>
              <w:rPr>
                <w:rFonts w:ascii="仿宋_GB2312" w:hAnsi="仿宋_GB2312" w:cs="仿宋_GB2312" w:eastAsia="仿宋_GB2312"/>
                <w:sz w:val="24"/>
              </w:rPr>
              <w:t xml:space="preserve">  </w:t>
            </w:r>
            <w:r>
              <w:rPr>
                <w:rFonts w:ascii="仿宋_GB2312" w:hAnsi="仿宋_GB2312" w:cs="仿宋_GB2312" w:eastAsia="仿宋_GB2312"/>
                <w:sz w:val="24"/>
              </w:rPr>
              <w:t>桥面全宽</w:t>
            </w:r>
            <w:r>
              <w:rPr>
                <w:rFonts w:ascii="仿宋_GB2312" w:hAnsi="仿宋_GB2312" w:cs="仿宋_GB2312" w:eastAsia="仿宋_GB2312"/>
                <w:sz w:val="24"/>
              </w:rPr>
              <w:t>53.5 米，主桥引桥布置相同，均为:3米(人行道)+3 米(非机动车道)+225 米(分隔带)+8 米(机动车道)+2.5 米(分隔带)+16 米(机动车道)+2.5米(分隔带)+8 米(机动车道)+2.25 米(分隔带)+3 米(非机动车道)+3 米(人行道)=53.5 米。</w:t>
            </w:r>
          </w:p>
          <w:p>
            <w:pPr>
              <w:pStyle w:val="null3"/>
              <w:ind w:firstLine="504"/>
              <w:jc w:val="both"/>
            </w:pPr>
            <w:r>
              <w:rPr>
                <w:rFonts w:ascii="仿宋_GB2312" w:hAnsi="仿宋_GB2312" w:cs="仿宋_GB2312" w:eastAsia="仿宋_GB2312"/>
                <w:sz w:val="24"/>
              </w:rPr>
              <w:t>(1)主桥上部结构</w:t>
            </w:r>
          </w:p>
          <w:p>
            <w:pPr>
              <w:pStyle w:val="null3"/>
              <w:ind w:firstLine="504"/>
              <w:jc w:val="both"/>
            </w:pPr>
            <w:r>
              <w:rPr>
                <w:rFonts w:ascii="仿宋_GB2312" w:hAnsi="仿宋_GB2312" w:cs="仿宋_GB2312" w:eastAsia="仿宋_GB2312"/>
                <w:sz w:val="24"/>
              </w:rPr>
              <w:t>拱肋</w:t>
            </w:r>
            <w:r>
              <w:rPr>
                <w:rFonts w:ascii="仿宋_GB2312" w:hAnsi="仿宋_GB2312" w:cs="仿宋_GB2312" w:eastAsia="仿宋_GB2312"/>
                <w:sz w:val="24"/>
              </w:rPr>
              <w:t>:主桥采用两跨半中承式连续系杆拱桥，跨径布置为:2x89.25=178.5米:桥面全宽53.5米。横桥向共布置4榀拱肋:分别位于分隔带处:两拱肋为一组，间距10.5米，设横撑;组与组之间拱肋敞开式布置，间距18.5米，不设横撑。拱肋面采用钢箱裁面，戴面尺寸1.8x1.3米;钢箱壁厚22毫米:第一根吊杆处以下拱助填充混凝土，以上为空钢箱。拱轴线:桥面上采用二次抛物线，矢跨比:1/4:方程为Y=-X/75+X，桥面下采用直线。拱助采Q350钢板工厂焊接加工。</w:t>
            </w:r>
          </w:p>
          <w:p>
            <w:pPr>
              <w:pStyle w:val="null3"/>
              <w:ind w:firstLine="504"/>
              <w:jc w:val="both"/>
            </w:pPr>
            <w:r>
              <w:rPr>
                <w:rFonts w:ascii="仿宋_GB2312" w:hAnsi="仿宋_GB2312" w:cs="仿宋_GB2312" w:eastAsia="仿宋_GB2312"/>
                <w:sz w:val="24"/>
              </w:rPr>
              <w:t>系梁</w:t>
            </w:r>
            <w:r>
              <w:rPr>
                <w:rFonts w:ascii="仿宋_GB2312" w:hAnsi="仿宋_GB2312" w:cs="仿宋_GB2312" w:eastAsia="仿宋_GB2312"/>
                <w:sz w:val="24"/>
              </w:rPr>
              <w:t>:本桥采用预应力混凝土刚性变截面加劲系梁,截面尺寸在拱助相交处为2x2.75米,在其它部位为2x2.1米。系梁采用C50混凝土，整体支架现流施工。</w:t>
            </w:r>
          </w:p>
          <w:p>
            <w:pPr>
              <w:pStyle w:val="null3"/>
              <w:ind w:firstLine="504"/>
              <w:jc w:val="both"/>
            </w:pPr>
            <w:r>
              <w:rPr>
                <w:rFonts w:ascii="仿宋_GB2312" w:hAnsi="仿宋_GB2312" w:cs="仿宋_GB2312" w:eastAsia="仿宋_GB2312"/>
                <w:sz w:val="24"/>
              </w:rPr>
              <w:t>横梁</w:t>
            </w:r>
            <w:r>
              <w:rPr>
                <w:rFonts w:ascii="仿宋_GB2312" w:hAnsi="仿宋_GB2312" w:cs="仿宋_GB2312" w:eastAsia="仿宋_GB2312"/>
                <w:sz w:val="24"/>
              </w:rPr>
              <w:t>:横梁采用预应力混凝土，与系梁刚性连接。吊杆处横梁采用“T”形断面，腹板宽度0.7米，高度1.4米，顶板宽度1.5米。7#桥墩处横梁采用箱型断面，高度1.67米，顶板宽度3.3米:底板宽度2米。拱肋相交处横梁采用箱型断面，高度2.32米，顶板宽度6.3米、5.65米:底板宽度5米。横梁采用C50混凝土，分段(先两侧，后中间)支架现浇施工。</w:t>
            </w:r>
          </w:p>
          <w:p>
            <w:pPr>
              <w:pStyle w:val="null3"/>
              <w:ind w:firstLine="504"/>
              <w:jc w:val="both"/>
            </w:pPr>
            <w:r>
              <w:rPr>
                <w:rFonts w:ascii="仿宋_GB2312" w:hAnsi="仿宋_GB2312" w:cs="仿宋_GB2312" w:eastAsia="仿宋_GB2312"/>
                <w:sz w:val="24"/>
              </w:rPr>
              <w:t>吊杆</w:t>
            </w:r>
            <w:r>
              <w:rPr>
                <w:rFonts w:ascii="仿宋_GB2312" w:hAnsi="仿宋_GB2312" w:cs="仿宋_GB2312" w:eastAsia="仿宋_GB2312"/>
                <w:sz w:val="24"/>
              </w:rPr>
              <w:t>:单跨每福拱肋配置12根吊杆，间距5.5米，吊杆在拱肋上为锚固端，系梁一端为张拉端，设计考虑分三次张拉，吊杆采用钢纹线整束挤压拉索体系，吊杆采用0WM,GJJ5-19截面面积2660mm?，破断索力4948KN,吊杆锚具及其防护配件采用其配套产品。</w:t>
            </w:r>
          </w:p>
          <w:p>
            <w:pPr>
              <w:pStyle w:val="null3"/>
              <w:ind w:firstLine="504"/>
              <w:jc w:val="both"/>
            </w:pPr>
            <w:r>
              <w:rPr>
                <w:rFonts w:ascii="仿宋_GB2312" w:hAnsi="仿宋_GB2312" w:cs="仿宋_GB2312" w:eastAsia="仿宋_GB2312"/>
                <w:sz w:val="24"/>
              </w:rPr>
              <w:t>桥面系</w:t>
            </w:r>
            <w:r>
              <w:rPr>
                <w:rFonts w:ascii="仿宋_GB2312" w:hAnsi="仿宋_GB2312" w:cs="仿宋_GB2312" w:eastAsia="仿宋_GB2312"/>
                <w:sz w:val="24"/>
              </w:rPr>
              <w:t>:</w:t>
            </w:r>
          </w:p>
          <w:p>
            <w:pPr>
              <w:pStyle w:val="null3"/>
              <w:ind w:firstLine="504"/>
              <w:jc w:val="both"/>
            </w:pPr>
            <w:r>
              <w:rPr>
                <w:rFonts w:ascii="仿宋_GB2312" w:hAnsi="仿宋_GB2312" w:cs="仿宋_GB2312" w:eastAsia="仿宋_GB2312"/>
                <w:sz w:val="24"/>
              </w:rPr>
              <w:t>车行道预制板</w:t>
            </w:r>
            <w:r>
              <w:rPr>
                <w:rFonts w:ascii="仿宋_GB2312" w:hAnsi="仿宋_GB2312" w:cs="仿宋_GB2312" w:eastAsia="仿宋_GB2312"/>
                <w:sz w:val="24"/>
              </w:rPr>
              <w:t>:采用矩形钢筋混凝土预制板:厚度0.25米:为提高桥面系的整体承载能力，在预制板纵横向接头之间预留了后浇段，并将纵向接缝钢筋与横梁中预埋筋焊接形成弹性支承上的连续板结构体系。</w:t>
            </w:r>
          </w:p>
          <w:p>
            <w:pPr>
              <w:pStyle w:val="null3"/>
              <w:ind w:firstLine="504"/>
              <w:jc w:val="both"/>
            </w:pPr>
            <w:r>
              <w:rPr>
                <w:rFonts w:ascii="仿宋_GB2312" w:hAnsi="仿宋_GB2312" w:cs="仿宋_GB2312" w:eastAsia="仿宋_GB2312"/>
                <w:sz w:val="24"/>
              </w:rPr>
              <w:t>非机动车道预制板</w:t>
            </w:r>
            <w:r>
              <w:rPr>
                <w:rFonts w:ascii="仿宋_GB2312" w:hAnsi="仿宋_GB2312" w:cs="仿宋_GB2312" w:eastAsia="仿宋_GB2312"/>
                <w:sz w:val="24"/>
              </w:rPr>
              <w:t>:为减轻结构自重，采用矮肋式钢筋混凝土预制板。人行道预制板:为方便管线穿过，采用槽形钢筋混凝土预制板。</w:t>
            </w:r>
          </w:p>
          <w:p>
            <w:pPr>
              <w:pStyle w:val="null3"/>
              <w:ind w:firstLine="504"/>
              <w:jc w:val="both"/>
            </w:pPr>
            <w:r>
              <w:rPr>
                <w:rFonts w:ascii="仿宋_GB2312" w:hAnsi="仿宋_GB2312" w:cs="仿宋_GB2312" w:eastAsia="仿宋_GB2312"/>
                <w:sz w:val="24"/>
              </w:rPr>
              <w:t>桥面铺装</w:t>
            </w:r>
            <w:r>
              <w:rPr>
                <w:rFonts w:ascii="仿宋_GB2312" w:hAnsi="仿宋_GB2312" w:cs="仿宋_GB2312" w:eastAsia="仿宋_GB2312"/>
                <w:sz w:val="24"/>
              </w:rPr>
              <w:t>:车行道:采用8厘米沥青混凝土和8厘米C50混凝土调平层。人行道采用石材铺装。人行道外侧设石材栏杆，分隔带处设吊杆防护钢栏杆。</w:t>
            </w:r>
          </w:p>
          <w:p>
            <w:pPr>
              <w:pStyle w:val="null3"/>
              <w:ind w:firstLine="504"/>
              <w:jc w:val="both"/>
            </w:pPr>
            <w:r>
              <w:rPr>
                <w:rFonts w:ascii="仿宋_GB2312" w:hAnsi="仿宋_GB2312" w:cs="仿宋_GB2312" w:eastAsia="仿宋_GB2312"/>
                <w:sz w:val="24"/>
              </w:rPr>
              <w:t>拱肋横撑</w:t>
            </w:r>
            <w:r>
              <w:rPr>
                <w:rFonts w:ascii="仿宋_GB2312" w:hAnsi="仿宋_GB2312" w:cs="仿宋_GB2312" w:eastAsia="仿宋_GB2312"/>
                <w:sz w:val="24"/>
              </w:rPr>
              <w:t>:单跨内外侧拱肋之间共设2道“一”字撑:2道“K”撑。横撑截面采用箱型截面，横撑截面尺寸:1.2x1.2米，斜撑1.0x1.2米，拱肋横撑之间采用装饰性铝合金板装饰。</w:t>
            </w:r>
          </w:p>
          <w:p>
            <w:pPr>
              <w:pStyle w:val="null3"/>
              <w:ind w:firstLine="504"/>
              <w:jc w:val="both"/>
            </w:pPr>
            <w:r>
              <w:rPr>
                <w:rFonts w:ascii="仿宋_GB2312" w:hAnsi="仿宋_GB2312" w:cs="仿宋_GB2312" w:eastAsia="仿宋_GB2312"/>
                <w:sz w:val="24"/>
              </w:rPr>
              <w:t>(2)主桥下部结构</w:t>
            </w:r>
          </w:p>
          <w:p>
            <w:pPr>
              <w:pStyle w:val="null3"/>
              <w:ind w:firstLine="504"/>
              <w:jc w:val="both"/>
            </w:pPr>
            <w:r>
              <w:rPr>
                <w:rFonts w:ascii="仿宋_GB2312" w:hAnsi="仿宋_GB2312" w:cs="仿宋_GB2312" w:eastAsia="仿宋_GB2312"/>
                <w:sz w:val="24"/>
              </w:rPr>
              <w:t>7#桥墩依据拱肋设置情况，横向共设两座:承台与拱座之间设支座:承台厚度3米，侧面设防水侧墙，将拱座包围。基础采用群桩基础，每个设12根直径2米桩端后压浆灌注桩，长45米。</w:t>
            </w:r>
          </w:p>
          <w:p>
            <w:pPr>
              <w:pStyle w:val="null3"/>
              <w:ind w:firstLine="504"/>
              <w:jc w:val="both"/>
            </w:pPr>
            <w:r>
              <w:rPr>
                <w:rFonts w:ascii="仿宋_GB2312" w:hAnsi="仿宋_GB2312" w:cs="仿宋_GB2312" w:eastAsia="仿宋_GB2312"/>
                <w:sz w:val="24"/>
              </w:rPr>
              <w:t>6#、8#桥墩设“L”形盖梁，横向设4根矩形墩柱，柱中心间距10.5、18.5、10.5米，两根为一组，墩柱截面3x2米，墩柱与桩基础之间设3米厚承台:每组桥墩设8根直径2米桩端后压浆灌注桩，桩长39米。</w:t>
            </w:r>
          </w:p>
          <w:p>
            <w:pPr>
              <w:pStyle w:val="null3"/>
              <w:ind w:firstLine="504"/>
              <w:jc w:val="both"/>
            </w:pPr>
            <w:r>
              <w:rPr>
                <w:rFonts w:ascii="仿宋_GB2312" w:hAnsi="仿宋_GB2312" w:cs="仿宋_GB2312" w:eastAsia="仿宋_GB2312"/>
                <w:sz w:val="24"/>
              </w:rPr>
              <w:t>(3)引桥上部结构</w:t>
            </w:r>
          </w:p>
          <w:p>
            <w:pPr>
              <w:pStyle w:val="null3"/>
              <w:ind w:firstLine="504"/>
              <w:jc w:val="both"/>
            </w:pPr>
            <w:r>
              <w:rPr>
                <w:rFonts w:ascii="仿宋_GB2312" w:hAnsi="仿宋_GB2312" w:cs="仿宋_GB2312" w:eastAsia="仿宋_GB2312"/>
                <w:sz w:val="24"/>
              </w:rPr>
              <w:t>第一联、第五联采用装配式后张法预应力湿凝士空心板梁，简支结构、桥宽</w:t>
            </w:r>
            <w:r>
              <w:rPr>
                <w:rFonts w:ascii="仿宋_GB2312" w:hAnsi="仿宋_GB2312" w:cs="仿宋_GB2312" w:eastAsia="仿宋_GB2312"/>
                <w:sz w:val="24"/>
              </w:rPr>
              <w:t>53.5米分为三幅桥;边幅桥宽17.9米，中幅桥宽17.7米:每幅桥均由横向11片预制空心板拼接而成，全桥共66片。</w:t>
            </w:r>
          </w:p>
          <w:p>
            <w:pPr>
              <w:pStyle w:val="null3"/>
              <w:ind w:firstLine="504"/>
              <w:jc w:val="both"/>
            </w:pPr>
            <w:r>
              <w:rPr>
                <w:rFonts w:ascii="仿宋_GB2312" w:hAnsi="仿宋_GB2312" w:cs="仿宋_GB2312" w:eastAsia="仿宋_GB2312"/>
                <w:sz w:val="24"/>
              </w:rPr>
              <w:t>空心板板高</w:t>
            </w:r>
            <w:r>
              <w:rPr>
                <w:rFonts w:ascii="仿宋_GB2312" w:hAnsi="仿宋_GB2312" w:cs="仿宋_GB2312" w:eastAsia="仿宋_GB2312"/>
                <w:sz w:val="24"/>
              </w:rPr>
              <w:t>0.8米，中板底宽1.24米:边板底宽2.31米，为同第二、四联主梁外观保持一致， 悬臂侧腹板倾斜。桥面2%的横坡通过空心板斜置形成，桥面铺装等厚，纵横坡由箱梁底调平块调整，保证支座水平。</w:t>
            </w:r>
          </w:p>
          <w:p>
            <w:pPr>
              <w:pStyle w:val="null3"/>
              <w:ind w:firstLine="504"/>
              <w:jc w:val="both"/>
            </w:pPr>
            <w:r>
              <w:rPr>
                <w:rFonts w:ascii="仿宋_GB2312" w:hAnsi="仿宋_GB2312" w:cs="仿宋_GB2312" w:eastAsia="仿宋_GB2312"/>
                <w:sz w:val="24"/>
              </w:rPr>
              <w:t>第二联、第四联采用装配式预应力混凝土箱梁，先简支后连续。桥宽</w:t>
            </w:r>
            <w:r>
              <w:rPr>
                <w:rFonts w:ascii="仿宋_GB2312" w:hAnsi="仿宋_GB2312" w:cs="仿宋_GB2312" w:eastAsia="仿宋_GB2312"/>
                <w:sz w:val="24"/>
              </w:rPr>
              <w:t>53.5米，分为三幅桥;边幅桥宽17.9米，中幅桥宽17.7米:每幅桥均由横向6片预制梁拼接而成，梁间距2.9米梁与梁之间设0.5宽后浇带。全桥30米跨径预制梁共144片，27米跨径预制梁共36片。</w:t>
            </w:r>
          </w:p>
          <w:p>
            <w:pPr>
              <w:pStyle w:val="null3"/>
              <w:ind w:firstLine="504"/>
              <w:jc w:val="both"/>
            </w:pPr>
            <w:r>
              <w:rPr>
                <w:rFonts w:ascii="仿宋_GB2312" w:hAnsi="仿宋_GB2312" w:cs="仿宋_GB2312" w:eastAsia="仿宋_GB2312"/>
                <w:sz w:val="24"/>
              </w:rPr>
              <w:t>预制梁高</w:t>
            </w:r>
            <w:r>
              <w:rPr>
                <w:rFonts w:ascii="仿宋_GB2312" w:hAnsi="仿宋_GB2312" w:cs="仿宋_GB2312" w:eastAsia="仿宋_GB2312"/>
                <w:sz w:val="24"/>
              </w:rPr>
              <w:t>1.6米，边梁项板宽3米，外侧悬臂长0.96米;中梁顶板宽2.4米，底板宽均为1.0米。箱梁底板设置通气孔、泄水孔。底板水平，桥面2%的横坡通过不等高腹板形成，桥面铺装等厚，纵坡由箱梁底调平钢板调整，保证支座水平。引桥主梁均采用C50混凝土预制而成。</w:t>
            </w:r>
          </w:p>
          <w:p>
            <w:pPr>
              <w:pStyle w:val="null3"/>
              <w:ind w:firstLine="504"/>
              <w:jc w:val="both"/>
            </w:pPr>
            <w:r>
              <w:rPr>
                <w:rFonts w:ascii="仿宋_GB2312" w:hAnsi="仿宋_GB2312" w:cs="仿宋_GB2312" w:eastAsia="仿宋_GB2312"/>
                <w:sz w:val="24"/>
              </w:rPr>
              <w:t>(4)引桥下部结构</w:t>
            </w:r>
          </w:p>
          <w:p>
            <w:pPr>
              <w:pStyle w:val="null3"/>
              <w:ind w:firstLine="504"/>
              <w:jc w:val="both"/>
            </w:pPr>
            <w:r>
              <w:rPr>
                <w:rFonts w:ascii="仿宋_GB2312" w:hAnsi="仿宋_GB2312" w:cs="仿宋_GB2312" w:eastAsia="仿宋_GB2312"/>
                <w:sz w:val="24"/>
              </w:rPr>
              <w:t>0#、14#桥台均采用钢筋混凝土轻型桥台，桩基础。每幅桥间设沉降缝，沉降缝宽2厘米，内嵌油浸木板，聚硫密封膏勾缝。台身厚0.8米:台身与基之间设1.5米厚承台:每幅桥台设3根直径1.5米桩端后压浆灌注桩，桩长22米，引桥桥墩采用柱式墩，基础。1#、13#桥墩设“L”形盖梁，每幅桥横向设5根矩形墩柱，柱中心间距3.6米，墩柱截面1.3x0.8米，墩柱与桩基础间设1.5米厚承台:每幅桥墩设4根直径1.2米桩端后压浆灌注桩，桩长20米。</w:t>
            </w:r>
          </w:p>
          <w:p>
            <w:pPr>
              <w:pStyle w:val="null3"/>
              <w:ind w:firstLine="504"/>
              <w:jc w:val="both"/>
            </w:pPr>
            <w:r>
              <w:rPr>
                <w:rFonts w:ascii="仿宋_GB2312" w:hAnsi="仿宋_GB2312" w:cs="仿宋_GB2312" w:eastAsia="仿宋_GB2312"/>
                <w:sz w:val="24"/>
              </w:rPr>
              <w:t>2#~5#、9#~12#桥墩设矩形善梁，每幅桥横向设2根圆形墩柱，柱中心间距8.6米，墩柱直径1.5米，墩柱与桩基础之间设2米厚承台:每幅桥墩设4根直径1.5米桩端后压浆灌注桩，桩长30、33米。</w:t>
            </w:r>
          </w:p>
          <w:p>
            <w:pPr>
              <w:pStyle w:val="null3"/>
              <w:ind w:firstLine="504"/>
              <w:jc w:val="both"/>
            </w:pPr>
            <w:r>
              <w:rPr>
                <w:rFonts w:ascii="仿宋_GB2312" w:hAnsi="仿宋_GB2312" w:cs="仿宋_GB2312" w:eastAsia="仿宋_GB2312"/>
                <w:sz w:val="24"/>
              </w:rPr>
              <w:t>(5)技术标准</w:t>
            </w:r>
          </w:p>
          <w:p>
            <w:pPr>
              <w:pStyle w:val="null3"/>
              <w:ind w:firstLine="504"/>
              <w:jc w:val="both"/>
            </w:pPr>
            <w:r>
              <w:rPr>
                <w:rFonts w:ascii="仿宋_GB2312" w:hAnsi="仿宋_GB2312" w:cs="仿宋_GB2312" w:eastAsia="仿宋_GB2312"/>
                <w:sz w:val="24"/>
              </w:rPr>
              <w:t>道路等级</w:t>
            </w:r>
            <w:r>
              <w:rPr>
                <w:rFonts w:ascii="仿宋_GB2312" w:hAnsi="仿宋_GB2312" w:cs="仿宋_GB2312" w:eastAsia="仿宋_GB2312"/>
                <w:sz w:val="24"/>
              </w:rPr>
              <w:t>:主干路I级:</w:t>
            </w:r>
          </w:p>
          <w:p>
            <w:pPr>
              <w:pStyle w:val="null3"/>
              <w:ind w:firstLine="504"/>
              <w:jc w:val="both"/>
            </w:pPr>
            <w:r>
              <w:rPr>
                <w:rFonts w:ascii="仿宋_GB2312" w:hAnsi="仿宋_GB2312" w:cs="仿宋_GB2312" w:eastAsia="仿宋_GB2312"/>
                <w:sz w:val="24"/>
              </w:rPr>
              <w:t>荷载标准</w:t>
            </w:r>
            <w:r>
              <w:rPr>
                <w:rFonts w:ascii="仿宋_GB2312" w:hAnsi="仿宋_GB2312" w:cs="仿宋_GB2312" w:eastAsia="仿宋_GB2312"/>
                <w:sz w:val="24"/>
              </w:rPr>
              <w:t>:汽车荷载公路-【级:挂-120验算:人群荷载:3KN/m，4KN/m(人行道板局部验算):</w:t>
            </w:r>
          </w:p>
          <w:p>
            <w:pPr>
              <w:pStyle w:val="null3"/>
              <w:ind w:firstLine="504"/>
              <w:jc w:val="both"/>
            </w:pPr>
            <w:r>
              <w:rPr>
                <w:rFonts w:ascii="仿宋_GB2312" w:hAnsi="仿宋_GB2312" w:cs="仿宋_GB2312" w:eastAsia="仿宋_GB2312"/>
                <w:sz w:val="24"/>
              </w:rPr>
              <w:t>桥梁设计洪水频率</w:t>
            </w:r>
            <w:r>
              <w:rPr>
                <w:rFonts w:ascii="仿宋_GB2312" w:hAnsi="仿宋_GB2312" w:cs="仿宋_GB2312" w:eastAsia="仿宋_GB2312"/>
                <w:sz w:val="24"/>
              </w:rPr>
              <w:t>:1/100:</w:t>
            </w:r>
          </w:p>
          <w:p>
            <w:pPr>
              <w:pStyle w:val="null3"/>
              <w:ind w:firstLine="504"/>
              <w:jc w:val="both"/>
            </w:pPr>
            <w:r>
              <w:rPr>
                <w:rFonts w:ascii="仿宋_GB2312" w:hAnsi="仿宋_GB2312" w:cs="仿宋_GB2312" w:eastAsia="仿宋_GB2312"/>
                <w:sz w:val="24"/>
              </w:rPr>
              <w:t>设计车速</w:t>
            </w:r>
            <w:r>
              <w:rPr>
                <w:rFonts w:ascii="仿宋_GB2312" w:hAnsi="仿宋_GB2312" w:cs="仿宋_GB2312" w:eastAsia="仿宋_GB2312"/>
                <w:sz w:val="24"/>
              </w:rPr>
              <w:t>:中央车道60km/h:两侧车道40km/h。</w:t>
            </w:r>
          </w:p>
          <w:p>
            <w:pPr>
              <w:pStyle w:val="null3"/>
              <w:jc w:val="both"/>
            </w:pPr>
            <w:r>
              <w:rPr>
                <w:rFonts w:ascii="仿宋_GB2312" w:hAnsi="仿宋_GB2312" w:cs="仿宋_GB2312" w:eastAsia="仿宋_GB2312"/>
                <w:sz w:val="24"/>
              </w:rPr>
              <w:t>3、监测内容</w:t>
            </w:r>
          </w:p>
          <w:p>
            <w:pPr>
              <w:pStyle w:val="null3"/>
              <w:ind w:firstLine="504"/>
              <w:jc w:val="both"/>
            </w:pPr>
            <w:r>
              <w:rPr>
                <w:rFonts w:ascii="仿宋_GB2312" w:hAnsi="仿宋_GB2312" w:cs="仿宋_GB2312" w:eastAsia="仿宋_GB2312"/>
                <w:sz w:val="24"/>
              </w:rPr>
              <w:t>监测桥梁为秦汉大道灞河桥，主要监测内容包括温湿度（桥址区环境温湿度）、位移（主梁竖向位移、墩顶位移，拱肋变形）、应变（主梁</w:t>
            </w:r>
            <w:r>
              <w:rPr>
                <w:rFonts w:ascii="仿宋_GB2312" w:hAnsi="仿宋_GB2312" w:cs="仿宋_GB2312" w:eastAsia="仿宋_GB2312"/>
                <w:sz w:val="24"/>
              </w:rPr>
              <w:t>/拱肋关键截面应变）、振动（主梁竖向振动加速度）等。具体监测设备清单参照《城市桥梁安全风险在线监测设备安装试点项目》竣工图。</w:t>
            </w:r>
          </w:p>
          <w:p>
            <w:pPr>
              <w:pStyle w:val="null3"/>
              <w:jc w:val="both"/>
            </w:pPr>
            <w:r>
              <w:rPr>
                <w:rFonts w:ascii="仿宋_GB2312" w:hAnsi="仿宋_GB2312" w:cs="仿宋_GB2312" w:eastAsia="仿宋_GB2312"/>
                <w:sz w:val="24"/>
              </w:rPr>
              <w:t>4、监测平台运维</w:t>
            </w:r>
          </w:p>
          <w:p>
            <w:pPr>
              <w:pStyle w:val="null3"/>
              <w:ind w:firstLine="504"/>
              <w:jc w:val="both"/>
            </w:pPr>
            <w:r>
              <w:rPr>
                <w:rFonts w:ascii="仿宋_GB2312" w:hAnsi="仿宋_GB2312" w:cs="仿宋_GB2312" w:eastAsia="仿宋_GB2312"/>
                <w:sz w:val="24"/>
              </w:rPr>
              <w:t>满足《公路桥梁结构监测技术规范》（</w:t>
            </w:r>
            <w:r>
              <w:rPr>
                <w:rFonts w:ascii="仿宋_GB2312" w:hAnsi="仿宋_GB2312" w:cs="仿宋_GB2312" w:eastAsia="仿宋_GB2312"/>
                <w:sz w:val="24"/>
              </w:rPr>
              <w:t>JT/T1037-2022）要求，包括但不限于:</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1）硬件设施日常检查；</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2）硬件设施维护；</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3）监测平台运行过程中出现监测数值异常情况时，受托人应立即开展硬件设备、网络传输等排查工作。</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4）监测报告中的数据分析，应提供相关支撑材料，包括但不限于计算模型、分析计算依据规范标准和著作文献等，并对分析过程进行详细阐述。</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5）本项目硬件设备在质保期内如有损坏，由承包人无条件免费更换。</w:t>
            </w:r>
          </w:p>
          <w:p>
            <w:pPr>
              <w:pStyle w:val="null3"/>
              <w:jc w:val="both"/>
            </w:pPr>
            <w:r>
              <w:rPr>
                <w:rFonts w:ascii="仿宋_GB2312" w:hAnsi="仿宋_GB2312" w:cs="仿宋_GB2312" w:eastAsia="仿宋_GB2312"/>
                <w:sz w:val="24"/>
              </w:rPr>
              <w:t>5、监测数据分析</w:t>
            </w:r>
          </w:p>
          <w:p>
            <w:pPr>
              <w:pStyle w:val="null3"/>
              <w:ind w:firstLine="504"/>
              <w:jc w:val="both"/>
            </w:pPr>
            <w:r>
              <w:rPr>
                <w:rFonts w:ascii="仿宋_GB2312" w:hAnsi="仿宋_GB2312" w:cs="仿宋_GB2312" w:eastAsia="仿宋_GB2312"/>
                <w:sz w:val="24"/>
              </w:rPr>
              <w:t>监测数据分析应用满足《公路桥梁结构监测技术规范》（</w:t>
            </w:r>
            <w:r>
              <w:rPr>
                <w:rFonts w:ascii="仿宋_GB2312" w:hAnsi="仿宋_GB2312" w:cs="仿宋_GB2312" w:eastAsia="仿宋_GB2312"/>
                <w:sz w:val="24"/>
              </w:rPr>
              <w:t>JT/T1037-2022）要求，包括但不限于:监测数据分析、超限阈值与报警、车辆通行管控建议、检查指引、健康度评估、特殊事件应急管理等。具体技术服务工作应分析环境、作用、结构响应和结构变化监测数据，并宜结合该桥桥梁养护的经常检查、定期检查和特殊检查数据，包括但不限于:</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1）全天候桥梁结构安全监测预警；</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2）桥梁结构安全评估；</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3）桥梁结构灾后应急安全评估及决策技术咨询；</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4）桥梁结构预警后应急安全评估及决策技术咨询；</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5）灾后应急交通管制建议及技术咨询；</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6）灾后应急抢险及临时加固保通技术咨询。</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7）报告出具频率，单桥监测平台数据分析报告分为常规定期报告（月报、年报）和特殊事件专项报告，具体规定如下：</w:t>
            </w:r>
          </w:p>
          <w:p>
            <w:pPr>
              <w:pStyle w:val="null3"/>
              <w:ind w:firstLine="504"/>
              <w:jc w:val="both"/>
            </w:pPr>
            <w:r>
              <w:rPr>
                <w:rFonts w:ascii="仿宋_GB2312" w:hAnsi="仿宋_GB2312" w:cs="仿宋_GB2312" w:eastAsia="仿宋_GB2312"/>
                <w:sz w:val="24"/>
              </w:rPr>
              <w:t>1）常规定期报告：</w:t>
            </w:r>
          </w:p>
          <w:p>
            <w:pPr>
              <w:pStyle w:val="null3"/>
              <w:ind w:firstLine="504"/>
              <w:jc w:val="both"/>
            </w:pPr>
            <w:r>
              <w:rPr>
                <w:rFonts w:ascii="仿宋_GB2312" w:hAnsi="仿宋_GB2312" w:cs="仿宋_GB2312" w:eastAsia="仿宋_GB2312"/>
                <w:sz w:val="24"/>
              </w:rPr>
              <w:t>常规定期报告（月报、年报）主要内容包括：</w:t>
            </w:r>
          </w:p>
          <w:p>
            <w:pPr>
              <w:pStyle w:val="null3"/>
              <w:ind w:firstLine="504"/>
              <w:jc w:val="both"/>
            </w:pPr>
            <w:r>
              <w:rPr>
                <w:rFonts w:ascii="仿宋_GB2312" w:hAnsi="仿宋_GB2312" w:cs="仿宋_GB2312" w:eastAsia="仿宋_GB2312"/>
                <w:sz w:val="24"/>
              </w:rPr>
              <w:t>a）单桥监测平台运行状况分析；</w:t>
            </w:r>
          </w:p>
          <w:p>
            <w:pPr>
              <w:pStyle w:val="null3"/>
              <w:ind w:firstLine="504"/>
              <w:jc w:val="both"/>
            </w:pPr>
            <w:r>
              <w:rPr>
                <w:rFonts w:ascii="仿宋_GB2312" w:hAnsi="仿宋_GB2312" w:cs="仿宋_GB2312" w:eastAsia="仿宋_GB2312"/>
                <w:sz w:val="24"/>
              </w:rPr>
              <w:t>b）监测数据质量分析；</w:t>
            </w:r>
          </w:p>
          <w:p>
            <w:pPr>
              <w:pStyle w:val="null3"/>
              <w:ind w:firstLine="504"/>
              <w:jc w:val="both"/>
            </w:pPr>
            <w:r>
              <w:rPr>
                <w:rFonts w:ascii="仿宋_GB2312" w:hAnsi="仿宋_GB2312" w:cs="仿宋_GB2312" w:eastAsia="仿宋_GB2312"/>
                <w:sz w:val="24"/>
              </w:rPr>
              <w:t>c）环境、作用、结构响应监测数据统计分析；</w:t>
            </w:r>
          </w:p>
          <w:p>
            <w:pPr>
              <w:pStyle w:val="null3"/>
              <w:ind w:firstLine="504"/>
              <w:jc w:val="both"/>
            </w:pPr>
            <w:r>
              <w:rPr>
                <w:rFonts w:ascii="仿宋_GB2312" w:hAnsi="仿宋_GB2312" w:cs="仿宋_GB2312" w:eastAsia="仿宋_GB2312"/>
                <w:sz w:val="24"/>
              </w:rPr>
              <w:t>d）监测数据相关性分析；</w:t>
            </w:r>
          </w:p>
          <w:p>
            <w:pPr>
              <w:pStyle w:val="null3"/>
              <w:ind w:firstLine="504"/>
              <w:jc w:val="both"/>
            </w:pPr>
            <w:r>
              <w:rPr>
                <w:rFonts w:ascii="仿宋_GB2312" w:hAnsi="仿宋_GB2312" w:cs="仿宋_GB2312" w:eastAsia="仿宋_GB2312"/>
                <w:sz w:val="24"/>
              </w:rPr>
              <w:t>e）桥梁健康度评价；</w:t>
            </w:r>
          </w:p>
          <w:p>
            <w:pPr>
              <w:pStyle w:val="null3"/>
              <w:ind w:firstLine="504"/>
              <w:jc w:val="both"/>
            </w:pPr>
            <w:r>
              <w:rPr>
                <w:rFonts w:ascii="仿宋_GB2312" w:hAnsi="仿宋_GB2312" w:cs="仿宋_GB2312" w:eastAsia="仿宋_GB2312"/>
                <w:sz w:val="24"/>
              </w:rPr>
              <w:t>f）月度报告在每月结束后10天内提交，年度报告在年度结束后10天内提交。</w:t>
            </w:r>
          </w:p>
          <w:p>
            <w:pPr>
              <w:pStyle w:val="null3"/>
              <w:ind w:firstLine="504"/>
              <w:jc w:val="both"/>
            </w:pPr>
            <w:r>
              <w:rPr>
                <w:rFonts w:ascii="仿宋_GB2312" w:hAnsi="仿宋_GB2312" w:cs="仿宋_GB2312" w:eastAsia="仿宋_GB2312"/>
                <w:sz w:val="24"/>
              </w:rPr>
              <w:t>2）特殊事件专项报告（指影响桥梁结构运行安全的突发事件，如强（台）风、地震、凝冻、山体崩塌滑坡、地面塌陷裂缝、地面沉降等自然灾害，以及涡振、车辆超载、车撞、船撞、火灾等意外事故)：当发生特殊事件时，由人工主动参与结合特殊事件发生前后时间段内的环境、作用、结构响应和结构变化监测数据进行统计分析和关联性分析，对发生特殊事件后对桥梁进行初步的结构安全性评价。特殊事件发生时，应立即报告发包人，且在特殊事件发生后一周内提交专项报告。</w:t>
            </w:r>
          </w:p>
          <w:p>
            <w:pPr>
              <w:pStyle w:val="null3"/>
              <w:jc w:val="both"/>
            </w:pPr>
            <w:r>
              <w:rPr>
                <w:rFonts w:ascii="仿宋_GB2312" w:hAnsi="仿宋_GB2312" w:cs="仿宋_GB2312" w:eastAsia="仿宋_GB2312"/>
                <w:sz w:val="24"/>
              </w:rPr>
              <w:t>三、其他要求</w:t>
            </w:r>
          </w:p>
          <w:p>
            <w:pPr>
              <w:pStyle w:val="null3"/>
              <w:ind w:firstLine="504"/>
              <w:jc w:val="both"/>
            </w:pPr>
            <w:r>
              <w:rPr>
                <w:rFonts w:ascii="仿宋_GB2312" w:hAnsi="仿宋_GB2312" w:cs="仿宋_GB2312" w:eastAsia="仿宋_GB2312"/>
                <w:sz w:val="24"/>
              </w:rPr>
              <w:t>（一）监测服务期</w:t>
            </w:r>
          </w:p>
          <w:p>
            <w:pPr>
              <w:pStyle w:val="null3"/>
              <w:ind w:firstLine="504"/>
              <w:jc w:val="both"/>
            </w:pPr>
            <w:r>
              <w:rPr>
                <w:rFonts w:ascii="仿宋_GB2312" w:hAnsi="仿宋_GB2312" w:cs="仿宋_GB2312" w:eastAsia="仿宋_GB2312"/>
                <w:sz w:val="24"/>
              </w:rPr>
              <w:t>实施期：合同签订后</w:t>
            </w:r>
            <w:r>
              <w:rPr>
                <w:rFonts w:ascii="仿宋_GB2312" w:hAnsi="仿宋_GB2312" w:cs="仿宋_GB2312" w:eastAsia="仿宋_GB2312"/>
                <w:sz w:val="24"/>
              </w:rPr>
              <w:t>5天内开展监测准备，及时开展监测及运维工作。服务期为合同签订后的一个年度。</w:t>
            </w:r>
            <w:r>
              <w:rPr>
                <w:rFonts w:ascii="仿宋_GB2312" w:hAnsi="仿宋_GB2312" w:cs="仿宋_GB2312" w:eastAsia="仿宋_GB2312"/>
              </w:rPr>
              <w:t xml:space="preserve"> </w:t>
            </w:r>
          </w:p>
          <w:p>
            <w:pPr>
              <w:pStyle w:val="null3"/>
              <w:ind w:firstLine="504"/>
              <w:jc w:val="both"/>
            </w:pPr>
            <w:r>
              <w:rPr>
                <w:rFonts w:ascii="仿宋_GB2312" w:hAnsi="仿宋_GB2312" w:cs="仿宋_GB2312" w:eastAsia="仿宋_GB2312"/>
                <w:sz w:val="24"/>
              </w:rPr>
              <w:t>（二）服务质量要求</w:t>
            </w:r>
          </w:p>
          <w:p>
            <w:pPr>
              <w:pStyle w:val="null3"/>
              <w:ind w:firstLine="504"/>
              <w:jc w:val="both"/>
            </w:pPr>
            <w:r>
              <w:rPr>
                <w:rFonts w:ascii="仿宋_GB2312" w:hAnsi="仿宋_GB2312" w:cs="仿宋_GB2312" w:eastAsia="仿宋_GB2312"/>
                <w:sz w:val="24"/>
              </w:rPr>
              <w:t>编制运维方案，按规定开展巡查检测，形成台账；定期提交监测分析报告；设备完好率</w:t>
            </w:r>
            <w:r>
              <w:rPr>
                <w:rFonts w:ascii="仿宋_GB2312" w:hAnsi="仿宋_GB2312" w:cs="仿宋_GB2312" w:eastAsia="仿宋_GB2312"/>
                <w:sz w:val="24"/>
              </w:rPr>
              <w:t>≥95%。对维护中发现的问题24小时内进行响应并处置。</w:t>
            </w:r>
          </w:p>
          <w:p>
            <w:pPr>
              <w:pStyle w:val="null3"/>
              <w:ind w:firstLine="504"/>
              <w:jc w:val="both"/>
            </w:pPr>
            <w:r>
              <w:rPr>
                <w:rFonts w:ascii="仿宋_GB2312" w:hAnsi="仿宋_GB2312" w:cs="仿宋_GB2312" w:eastAsia="仿宋_GB2312"/>
                <w:sz w:val="24"/>
              </w:rPr>
              <w:t>（三）验收要求</w:t>
            </w:r>
          </w:p>
          <w:p>
            <w:pPr>
              <w:pStyle w:val="null3"/>
              <w:ind w:firstLine="504"/>
              <w:jc w:val="both"/>
            </w:pPr>
            <w:r>
              <w:rPr>
                <w:rFonts w:ascii="仿宋_GB2312" w:hAnsi="仿宋_GB2312" w:cs="仿宋_GB2312" w:eastAsia="仿宋_GB2312"/>
                <w:sz w:val="24"/>
              </w:rPr>
              <w:t>验收由采购人成立验收小组进行验收，采购人依据下列验收标准进行验收：</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1）相关国家、行业标准；</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2）合同、招标文件、中标人投标文件、双方确认的技术文件等。</w:t>
            </w:r>
          </w:p>
          <w:p>
            <w:pPr>
              <w:pStyle w:val="null3"/>
              <w:ind w:firstLine="504"/>
              <w:jc w:val="both"/>
            </w:pPr>
            <w:r>
              <w:rPr>
                <w:rFonts w:ascii="仿宋_GB2312" w:hAnsi="仿宋_GB2312" w:cs="仿宋_GB2312" w:eastAsia="仿宋_GB2312"/>
                <w:sz w:val="24"/>
              </w:rPr>
              <w:t>若全部符合，即为验收合格。</w:t>
            </w:r>
          </w:p>
          <w:p>
            <w:pPr>
              <w:pStyle w:val="null3"/>
              <w:ind w:firstLine="504"/>
              <w:jc w:val="both"/>
            </w:pPr>
            <w:r>
              <w:rPr>
                <w:rFonts w:ascii="仿宋_GB2312" w:hAnsi="仿宋_GB2312" w:cs="仿宋_GB2312" w:eastAsia="仿宋_GB2312"/>
                <w:sz w:val="24"/>
              </w:rPr>
              <w:t>（四）进一步检测的要求</w:t>
            </w:r>
          </w:p>
          <w:p>
            <w:pPr>
              <w:pStyle w:val="null3"/>
              <w:ind w:firstLine="504"/>
              <w:jc w:val="both"/>
            </w:pPr>
            <w:r>
              <w:rPr>
                <w:rFonts w:ascii="仿宋_GB2312" w:hAnsi="仿宋_GB2312" w:cs="仿宋_GB2312" w:eastAsia="仿宋_GB2312"/>
                <w:sz w:val="24"/>
              </w:rPr>
              <w:t>当监测平台发出监测预警信息或桥梁发生特殊事件后，检测单位应结合预警信息派专业检测人员</w:t>
            </w:r>
            <w:r>
              <w:rPr>
                <w:rFonts w:ascii="仿宋_GB2312" w:hAnsi="仿宋_GB2312" w:cs="仿宋_GB2312" w:eastAsia="仿宋_GB2312"/>
                <w:sz w:val="24"/>
              </w:rPr>
              <w:t>24小时内赴现场进行检测，查明预警产生原因并上报业主。</w:t>
            </w:r>
          </w:p>
          <w:p>
            <w:pPr>
              <w:pStyle w:val="null3"/>
              <w:ind w:firstLine="504"/>
              <w:jc w:val="both"/>
            </w:pPr>
            <w:r>
              <w:rPr>
                <w:rFonts w:ascii="仿宋_GB2312" w:hAnsi="仿宋_GB2312" w:cs="仿宋_GB2312" w:eastAsia="仿宋_GB2312"/>
                <w:sz w:val="24"/>
              </w:rPr>
              <w:t>（五）安全目标</w:t>
            </w:r>
          </w:p>
          <w:p>
            <w:pPr>
              <w:pStyle w:val="null3"/>
              <w:ind w:firstLine="504"/>
              <w:jc w:val="both"/>
            </w:pPr>
            <w:r>
              <w:rPr>
                <w:rFonts w:ascii="仿宋_GB2312" w:hAnsi="仿宋_GB2312" w:cs="仿宋_GB2312" w:eastAsia="仿宋_GB2312"/>
                <w:sz w:val="24"/>
              </w:rPr>
              <w:t>符合国家、省有关安全生产法律法规、标准、规范及地方安全生产管理规定等要求，不发生生产安全责任事故。落实信息系统等级保护制度的相关要求，确保网络信息安全。</w:t>
            </w:r>
          </w:p>
          <w:p>
            <w:pPr>
              <w:pStyle w:val="null3"/>
              <w:jc w:val="both"/>
            </w:pPr>
            <w:r>
              <w:rPr>
                <w:rFonts w:ascii="仿宋_GB2312" w:hAnsi="仿宋_GB2312" w:cs="仿宋_GB2312" w:eastAsia="仿宋_GB2312"/>
                <w:sz w:val="24"/>
              </w:rPr>
              <w:t>四、依据的标准及规范</w:t>
            </w:r>
          </w:p>
          <w:p>
            <w:pPr>
              <w:pStyle w:val="null3"/>
              <w:ind w:firstLine="504"/>
              <w:jc w:val="both"/>
            </w:pPr>
            <w:r>
              <w:rPr>
                <w:rFonts w:ascii="仿宋_GB2312" w:hAnsi="仿宋_GB2312" w:cs="仿宋_GB2312" w:eastAsia="仿宋_GB2312"/>
                <w:sz w:val="24"/>
              </w:rPr>
              <w:t>1）《城市桥梁养护技术标准》（CJJ99-2017）</w:t>
            </w:r>
          </w:p>
          <w:p>
            <w:pPr>
              <w:pStyle w:val="null3"/>
              <w:ind w:firstLine="504"/>
              <w:jc w:val="both"/>
            </w:pPr>
            <w:r>
              <w:rPr>
                <w:rFonts w:ascii="仿宋_GB2312" w:hAnsi="仿宋_GB2312" w:cs="仿宋_GB2312" w:eastAsia="仿宋_GB2312"/>
                <w:sz w:val="24"/>
              </w:rPr>
              <w:t>2）《城市安全风险综合监测预警平台建设指南（2023 版）》（安委办函〔2023〕145号）</w:t>
            </w:r>
          </w:p>
          <w:p>
            <w:pPr>
              <w:pStyle w:val="null3"/>
              <w:ind w:firstLine="504"/>
              <w:jc w:val="both"/>
            </w:pPr>
            <w:r>
              <w:rPr>
                <w:rFonts w:ascii="仿宋_GB2312" w:hAnsi="仿宋_GB2312" w:cs="仿宋_GB2312" w:eastAsia="仿宋_GB2312"/>
                <w:sz w:val="24"/>
              </w:rPr>
              <w:t>3）《建筑与桥梁结构监测技术规范》(GB50982-2014)</w:t>
            </w:r>
          </w:p>
          <w:p>
            <w:pPr>
              <w:pStyle w:val="null3"/>
              <w:ind w:firstLine="504"/>
              <w:jc w:val="both"/>
            </w:pPr>
            <w:r>
              <w:rPr>
                <w:rFonts w:ascii="仿宋_GB2312" w:hAnsi="仿宋_GB2312" w:cs="仿宋_GB2312" w:eastAsia="仿宋_GB2312"/>
                <w:sz w:val="24"/>
              </w:rPr>
              <w:t>4）《公路桥梁结构监测技术规范》（JT/T1037-2022）</w:t>
            </w:r>
          </w:p>
          <w:p>
            <w:pPr>
              <w:pStyle w:val="null3"/>
              <w:ind w:firstLine="504"/>
              <w:jc w:val="both"/>
            </w:pPr>
            <w:r>
              <w:rPr>
                <w:rFonts w:ascii="仿宋_GB2312" w:hAnsi="仿宋_GB2312" w:cs="仿宋_GB2312" w:eastAsia="仿宋_GB2312"/>
                <w:sz w:val="24"/>
              </w:rPr>
              <w:t>5）《公路长大桥梁结构健康监测平台建设实施方案》（交办公路〔2021〕21号）</w:t>
            </w:r>
          </w:p>
          <w:p>
            <w:pPr>
              <w:pStyle w:val="null3"/>
              <w:ind w:firstLine="504"/>
              <w:jc w:val="both"/>
            </w:pPr>
            <w:r>
              <w:rPr>
                <w:rFonts w:ascii="仿宋_GB2312" w:hAnsi="仿宋_GB2312" w:cs="仿宋_GB2312" w:eastAsia="仿宋_GB2312"/>
                <w:sz w:val="24"/>
              </w:rPr>
              <w:t>6）</w:t>
            </w:r>
            <w:r>
              <w:rPr>
                <w:rFonts w:ascii="仿宋_GB2312" w:hAnsi="仿宋_GB2312" w:cs="仿宋_GB2312" w:eastAsia="仿宋_GB2312"/>
                <w:sz w:val="24"/>
              </w:rPr>
              <w:t>《公路桥梁荷载试验规程》（</w:t>
            </w:r>
            <w:r>
              <w:rPr>
                <w:rFonts w:ascii="仿宋_GB2312" w:hAnsi="仿宋_GB2312" w:cs="仿宋_GB2312" w:eastAsia="仿宋_GB2312"/>
                <w:sz w:val="24"/>
              </w:rPr>
              <w:t>JTG/T J21-01-2015）</w:t>
            </w:r>
          </w:p>
          <w:p>
            <w:pPr>
              <w:pStyle w:val="null3"/>
              <w:ind w:firstLine="504"/>
              <w:jc w:val="both"/>
            </w:pPr>
            <w:r>
              <w:rPr>
                <w:rFonts w:ascii="仿宋_GB2312" w:hAnsi="仿宋_GB2312" w:cs="仿宋_GB2312" w:eastAsia="仿宋_GB2312"/>
                <w:sz w:val="24"/>
              </w:rPr>
              <w:t>7）</w:t>
            </w:r>
            <w:r>
              <w:rPr>
                <w:rFonts w:ascii="仿宋_GB2312" w:hAnsi="仿宋_GB2312" w:cs="仿宋_GB2312" w:eastAsia="仿宋_GB2312"/>
                <w:sz w:val="24"/>
              </w:rPr>
              <w:t>《公路桥涵养护规范》</w:t>
            </w:r>
            <w:r>
              <w:rPr>
                <w:rFonts w:ascii="仿宋_GB2312" w:hAnsi="仿宋_GB2312" w:cs="仿宋_GB2312" w:eastAsia="仿宋_GB2312"/>
                <w:sz w:val="24"/>
              </w:rPr>
              <w:t>(JTG 5120-2021)</w:t>
            </w:r>
          </w:p>
          <w:p>
            <w:pPr>
              <w:pStyle w:val="null3"/>
              <w:ind w:firstLine="504"/>
              <w:jc w:val="both"/>
            </w:pPr>
            <w:r>
              <w:rPr>
                <w:rFonts w:ascii="仿宋_GB2312" w:hAnsi="仿宋_GB2312" w:cs="仿宋_GB2312" w:eastAsia="仿宋_GB2312"/>
                <w:sz w:val="24"/>
              </w:rPr>
              <w:t>8）</w:t>
            </w:r>
            <w:r>
              <w:rPr>
                <w:rFonts w:ascii="仿宋_GB2312" w:hAnsi="仿宋_GB2312" w:cs="仿宋_GB2312" w:eastAsia="仿宋_GB2312"/>
                <w:sz w:val="24"/>
              </w:rPr>
              <w:t>《数据中心设计规范》</w:t>
            </w:r>
            <w:r>
              <w:rPr>
                <w:rFonts w:ascii="仿宋_GB2312" w:hAnsi="仿宋_GB2312" w:cs="仿宋_GB2312" w:eastAsia="仿宋_GB2312"/>
                <w:sz w:val="24"/>
              </w:rPr>
              <w:t>(GB 50174-2017)</w:t>
            </w:r>
          </w:p>
          <w:p>
            <w:pPr>
              <w:pStyle w:val="null3"/>
              <w:ind w:firstLine="504"/>
              <w:jc w:val="both"/>
            </w:pPr>
            <w:r>
              <w:rPr>
                <w:rFonts w:ascii="仿宋_GB2312" w:hAnsi="仿宋_GB2312" w:cs="仿宋_GB2312" w:eastAsia="仿宋_GB2312"/>
                <w:sz w:val="24"/>
              </w:rPr>
              <w:t>9）</w:t>
            </w:r>
            <w:r>
              <w:rPr>
                <w:rFonts w:ascii="仿宋_GB2312" w:hAnsi="仿宋_GB2312" w:cs="仿宋_GB2312" w:eastAsia="仿宋_GB2312"/>
                <w:sz w:val="24"/>
              </w:rPr>
              <w:t>《信息安全技术网络安全等级保护基本要求》</w:t>
            </w:r>
            <w:r>
              <w:rPr>
                <w:rFonts w:ascii="仿宋_GB2312" w:hAnsi="仿宋_GB2312" w:cs="仿宋_GB2312" w:eastAsia="仿宋_GB2312"/>
                <w:sz w:val="24"/>
              </w:rPr>
              <w:t xml:space="preserve">(GB/T22239-2019 </w:t>
            </w:r>
            <w:r>
              <w:rPr>
                <w:rFonts w:ascii="仿宋_GB2312" w:hAnsi="仿宋_GB2312" w:cs="仿宋_GB2312" w:eastAsia="仿宋_GB2312"/>
                <w:sz w:val="24"/>
              </w:rPr>
              <w:t>10）《城市桥梁安全风险在线监测设备安装试点项目》竣工图</w:t>
            </w:r>
          </w:p>
          <w:p>
            <w:pPr>
              <w:pStyle w:val="null3"/>
              <w:jc w:val="both"/>
            </w:pPr>
            <w:r>
              <w:rPr>
                <w:rFonts w:ascii="仿宋_GB2312" w:hAnsi="仿宋_GB2312" w:cs="仿宋_GB2312" w:eastAsia="仿宋_GB2312"/>
                <w:sz w:val="24"/>
              </w:rPr>
              <w:t>11）相关其他技术规范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服务期为合同签订后的一个年度。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合同签订后，支付预付款。甲方收到增值税发票后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乙方完成合同全部内容，验收合格后，甲方收到增值税发票后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 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供应商须具备交通运输部公路工程试验检测综合甲级或桥梁隧道工程专项资质，且同时具备省级及以上质量技术监督部门颁发的CMA 计量认证证书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供应商拟派项目负责人须具有桥梁专业或相近专业的高级职称，同时须具有交通运输部颁发的桥梁试验检测工程师资格证书；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法定代表人身份证复印件/法定代表人授权委托书</w:t>
            </w:r>
          </w:p>
        </w:tc>
        <w:tc>
          <w:tcPr>
            <w:tcW w:type="dxa" w:w="3322"/>
          </w:tcPr>
          <w:p>
            <w:pPr>
              <w:pStyle w:val="null3"/>
            </w:pPr>
            <w:r>
              <w:rPr>
                <w:rFonts w:ascii="仿宋_GB2312" w:hAnsi="仿宋_GB2312" w:cs="仿宋_GB2312" w:eastAsia="仿宋_GB2312"/>
              </w:rPr>
              <w:t>1)法定代表人参加磋商的，提供法定代表人身份证复印件；2)法定代表人委托代理人参加磋商的，提供法定代表人授权委托书（附法定代表人身份证复印件及被授权委托人身份证复印件）。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符合磋商文件的实质性要求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供应商针对本项目编制完善的服务方案，内容包含:①检测技术方案；②检测数据处理；③检测成果；④档案管理方案 。 二、评审标准 1、完整性:方案必须全面，对评审内容中的各项要求有详细描述: 2、可实施性:切合本项目实际情况，提出步骤清晰、合理的方案; 3、针对性:方案能够紧扣项目实际情况，内容科学合理。 三、赋分标准(满分24分) ①检测技术方案:每完全满足一个评审标准得2分，满分6分;②检测数据处理:每完全满足一个评审标准得2分，满分6分。 ③检测成果:每完全满足一个评审标准得2分，满分6分。④档案管理方案:每完全满足一个评审标准得2分，满分6分。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供应商针对本项目编制完善的服务质量保障措施，内容包含:①质量控制措施；②服务进度保证措施。 二、评审标准 1、完整性:方案必须全面，对评审内容中的各项要求有详细描述: 2、可实施性:切合本项目实际情况，提出步骤清晰、合理的方案; 3、针对性:方案能够紧扣项目实际情况，内容科学合理。 三、赋分标准(满分12分) ①质量控制措施:每完全满足一个评审标准得2分，满分6分; ②服务进度保证措施:每完全满足一个评审标准得2分，满分6分。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人员配备管理方案</w:t>
            </w:r>
          </w:p>
        </w:tc>
        <w:tc>
          <w:tcPr>
            <w:tcW w:type="dxa" w:w="2492"/>
          </w:tcPr>
          <w:p>
            <w:pPr>
              <w:pStyle w:val="null3"/>
            </w:pPr>
            <w:r>
              <w:rPr>
                <w:rFonts w:ascii="仿宋_GB2312" w:hAnsi="仿宋_GB2312" w:cs="仿宋_GB2312" w:eastAsia="仿宋_GB2312"/>
              </w:rPr>
              <w:t>一、评审内容 供应商针对本项目编制完善的人员配备管理方案 ，内容包含:①项目组织构架；②岗位分工及责任制度；③人员管理制度； 二、评审标准 1、完整性:方案必须全面，对评审内容中的各项要求有详细描述: 2、可实施性:切合本项目实际情况，提出步骤清晰、合理的方案; 3、针对性:方案能够紧扣项目实际情况，内容科学合理。 三、赋分标准(满分18分) ①项目组织构架:每完全满足一个评审标准得2分，满分6分; ②岗位分工及责任制度:每完全满足一个评审标准得2分，满分6分; ③人员管理制度:每完全满足一个评审标准得2分，满分6分。 （应提供身份证、毕业证、资质证书、专业职称证书等相关证明材料作为评审依据）</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拟投入设备方案</w:t>
            </w:r>
          </w:p>
        </w:tc>
        <w:tc>
          <w:tcPr>
            <w:tcW w:type="dxa" w:w="2492"/>
          </w:tcPr>
          <w:p>
            <w:pPr>
              <w:pStyle w:val="null3"/>
            </w:pPr>
            <w:r>
              <w:rPr>
                <w:rFonts w:ascii="仿宋_GB2312" w:hAnsi="仿宋_GB2312" w:cs="仿宋_GB2312" w:eastAsia="仿宋_GB2312"/>
              </w:rPr>
              <w:t>一、评审内容 供应商针对本项目编制完善的拟投入设备方案，内容包含:①设备配置总体方案；②仪器设备、专业工具； 二、评审标准 1、完整性:方案必须全面，对评审内容中的各项要求有详细描述: 2、可实施性:切合本项目实际情况，提出步骤清晰、合理的方案; 3、针对性:方案能够紧扣项目实际情况，内容科学合理。 三、赋分标准(满分12分) ①设备配置总体方案:每完全满足一个评审标准得2分，满分6分; ②仪器设备、专业工具:每完全满足一个评审标准得2分，满分6分。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重点、难点技术实施方案</w:t>
            </w:r>
          </w:p>
        </w:tc>
        <w:tc>
          <w:tcPr>
            <w:tcW w:type="dxa" w:w="2492"/>
          </w:tcPr>
          <w:p>
            <w:pPr>
              <w:pStyle w:val="null3"/>
            </w:pPr>
            <w:r>
              <w:rPr>
                <w:rFonts w:ascii="仿宋_GB2312" w:hAnsi="仿宋_GB2312" w:cs="仿宋_GB2312" w:eastAsia="仿宋_GB2312"/>
              </w:rPr>
              <w:t>一、评审内容 供应商针对本项目编制完善的重点、难点技术实施方案和跟踪服务计划，内容包含:①重点、难点技术实施方案；②跟踪服务计划。 二、评审标准 1、完整性:方案必须全面，对评审内容中的各项要求有详细描述: 2、可实施性:切合本项目实际情况，提出步骤清晰、合理的方案; 3、针对性:方案能够紧扣项目实际情况，内容科学合理。 三、赋分标准(满分12分) ①重点、难点技术实施方案:每完全满足一个评审标准得2分，满分6分; ②跟踪服务计划:每完全满足一个评审标准得2分，满分6分。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双重预防机制方案</w:t>
            </w:r>
          </w:p>
        </w:tc>
        <w:tc>
          <w:tcPr>
            <w:tcW w:type="dxa" w:w="2492"/>
          </w:tcPr>
          <w:p>
            <w:pPr>
              <w:pStyle w:val="null3"/>
            </w:pPr>
            <w:r>
              <w:rPr>
                <w:rFonts w:ascii="仿宋_GB2312" w:hAnsi="仿宋_GB2312" w:cs="仿宋_GB2312" w:eastAsia="仿宋_GB2312"/>
              </w:rPr>
              <w:t>一、评审内容 供应商针对本项目编制完善的双重预防机制方案。 二、评审标准 1、完整性:方案必须全面，对评审内容中的各项要求有详细描述: 2、可实施性:切合本项目实际情况，提出步骤清晰、合理的方案; 3、针对性:方案能够紧扣项目实际情况，内容科学合理。 三、赋分标准(满分6分) 双重预防机制方案:每完全满足一个评审标准得2分，满分6分。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 供应商提供2022年1月至今（以合同签订日期为准）类似项目业绩，以合同复印件为准，每一份计2分，最多计6分。二、评审标准： 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