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版本号：LZBD2025-92720250701001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呼吸道传染病多病原检测试剂采购项目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LZBD2025-927</w:t>
      </w:r>
      <w:r>
        <w:br/>
      </w:r>
      <w:r>
        <w:br/>
      </w:r>
      <w:r>
        <w:br/>
      </w:r>
    </w:p>
    <w:p>
      <w:pPr>
        <w:pStyle w:val="null3"/>
        <w:jc w:val="center"/>
        <w:outlineLvl w:val="2"/>
      </w:pPr>
      <w:r>
        <w:rPr>
          <w:rFonts w:ascii="仿宋_GB2312" w:hAnsi="仿宋_GB2312" w:cs="仿宋_GB2312" w:eastAsia="仿宋_GB2312"/>
          <w:sz w:val="28"/>
          <w:b/>
        </w:rPr>
        <w:t>西安市疾病预防控制中心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呼吸道传染病多病原检测试剂采购项目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LZBD2025-927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呼吸道传染病多病原检测试剂采购项目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采购呼吸道传染病多病原核酸检测试剂盒一批，具体要求详见招标文件。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1、法人或者其他组织的营业执照等证明文件，自然人的身份证明。：供应商应是独立承担民事责任能力的法人、其 他组织或自然人，法人、其他组织须提供合法 有效的营业执照（或事业单位法人证书）等证 明资料， 自然人须提供身份证明。注：供应商需在项目电子化交易系统中按要求上传相应证明文件并进行电子签章。</w:t>
      </w:r>
    </w:p>
    <w:p>
      <w:pPr>
        <w:pStyle w:val="null3"/>
      </w:pPr>
      <w:r>
        <w:rPr>
          <w:rFonts w:ascii="仿宋_GB2312" w:hAnsi="仿宋_GB2312" w:cs="仿宋_GB2312" w:eastAsia="仿宋_GB2312"/>
        </w:rPr>
        <w:t>2、所投产品纳入医疗器械管理的，代理商参与的提供医疗器械经营许可证或医疗器械经营备案凭证，及投标产品制造厂商的营业执照、医疗器械生产许可证或医疗器械生产备案凭证；制造厂商参与的提供医疗器械生产许可证或医疗器械生产备案凭证；： 所投产品纳入医疗器械管理的，代理商参与的提供医疗器械经营许可证或医疗器械经营备案凭证，及投标产品制造厂商的营业执照、医疗器械生产许可证或医疗器械生产备案凭证；制造厂商参与的提供医疗器械生产许可证或医疗器械生产备案凭证；注：供应商需在项目电子化交易系统中按要求上传相应证明文件并进行电子签章。</w:t>
      </w:r>
    </w:p>
    <w:p>
      <w:pPr>
        <w:pStyle w:val="null3"/>
      </w:pPr>
      <w:r>
        <w:rPr>
          <w:rFonts w:ascii="仿宋_GB2312" w:hAnsi="仿宋_GB2312" w:cs="仿宋_GB2312" w:eastAsia="仿宋_GB2312"/>
        </w:rPr>
        <w:t>3、信用记录：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记录已失效，需提供相关证明资料。</w:t>
      </w:r>
    </w:p>
    <w:p>
      <w:pPr>
        <w:pStyle w:val="null3"/>
      </w:pPr>
      <w:r>
        <w:rPr>
          <w:rFonts w:ascii="仿宋_GB2312" w:hAnsi="仿宋_GB2312" w:cs="仿宋_GB2312" w:eastAsia="仿宋_GB2312"/>
        </w:rPr>
        <w:t>4、承诺函：供应商与其他投标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 注：供应商需在项目电子化交易系统中按要求上传相应证明文件并进行电子签章。</w:t>
      </w:r>
    </w:p>
    <w:p>
      <w:pPr>
        <w:pStyle w:val="null3"/>
      </w:pPr>
      <w:r>
        <w:rPr>
          <w:rFonts w:ascii="仿宋_GB2312" w:hAnsi="仿宋_GB2312" w:cs="仿宋_GB2312" w:eastAsia="仿宋_GB2312"/>
        </w:rPr>
        <w:t>5、供应商与采购人关联关系：本项目不接受由西安市疾病预防控制中心职工及其亲属投资开办的企业参加本单位的政府采购活动(提供承诺函)。 注：供应商需在项目电子化交易系统中按要求上传相应证明文件并进行电子签章。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029-85535673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李敏、徐小宁 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代理服务费收费标准：1、参照国家相关标准。 2、缴费账户：开户名称：龙寰项目管理咨询有限公司，开户银行：平安银行西安高新路支行， 账号：30201278016973。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联系人：李敏、徐小宁</w:t>
      </w:r>
    </w:p>
    <w:p>
      <w:pPr>
        <w:pStyle w:val="null3"/>
      </w:pPr>
      <w:r>
        <w:rPr>
          <w:rFonts w:ascii="仿宋_GB2312" w:hAnsi="仿宋_GB2312" w:cs="仿宋_GB2312" w:eastAsia="仿宋_GB2312"/>
        </w:rPr>
        <w:t>联系电话：029-88228899-647</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采购呼吸道传染病多病原核酸检测试剂盒一批，具体要求详见招标文件。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呼吸道传染病多病原核酸检测试剂盒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标的名称：呼吸道传染病多病原核酸检测试剂盒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1、适用范围和功能：适用于定性检测咽拭子、痰液和培养物等样本中的常见呼吸道病原体，应至少包括以下病原：甲型流感病毒通用型、甲型流感病毒H1N1分型、甲型流感病毒H3分型，乙型流感病毒通用型、乙型流感病毒Victoria型、乙型流感病毒Yamagata型、新型冠状病毒、腺病毒、呼吸道合胞病毒、副流感病毒、人偏肺病毒、鼻病毒、冠状病毒、博卡病毒、肠道病毒、肺炎支原体、肺炎链球菌、A族链球菌、流感嗜血杆菌、百日咳杆菌。</w:t>
            </w:r>
          </w:p>
          <w:p>
            <w:pPr>
              <w:pStyle w:val="null3"/>
              <w:jc w:val="both"/>
            </w:pPr>
            <w:r>
              <w:rPr>
                <w:rFonts w:ascii="仿宋_GB2312" w:hAnsi="仿宋_GB2312" w:cs="仿宋_GB2312" w:eastAsia="仿宋_GB2312"/>
                <w:sz w:val="18"/>
              </w:rPr>
              <w:t>2、检测技术：多重实时荧光PCR技术，TaqMan探针法，PCR扩增不设预循环，从第一个循环数开始读取荧光值。</w:t>
            </w:r>
          </w:p>
          <w:p>
            <w:pPr>
              <w:pStyle w:val="null3"/>
              <w:jc w:val="both"/>
            </w:pPr>
            <w:r>
              <w:rPr>
                <w:rFonts w:ascii="仿宋_GB2312" w:hAnsi="仿宋_GB2312" w:cs="仿宋_GB2312" w:eastAsia="仿宋_GB2312"/>
                <w:sz w:val="18"/>
              </w:rPr>
              <w:t>3、试剂组成及规格：采用预分装的引物探针混合液，无需配置体系，只需一步加入核酸，即可完成多种病原体基因型的定性检测。使用8联管或可拆分96孔板，反应体系≤25 µL。含有阴性及阳性对照。</w:t>
            </w:r>
          </w:p>
          <w:p>
            <w:pPr>
              <w:pStyle w:val="null3"/>
              <w:jc w:val="both"/>
            </w:pPr>
            <w:r>
              <w:rPr>
                <w:rFonts w:ascii="仿宋_GB2312" w:hAnsi="仿宋_GB2312" w:cs="仿宋_GB2312" w:eastAsia="仿宋_GB2312"/>
                <w:sz w:val="18"/>
              </w:rPr>
              <w:t>4、最低检出限：最低检出限为1000copies/mL，与其他病原菌均无交叉反应。</w:t>
            </w:r>
          </w:p>
          <w:p>
            <w:pPr>
              <w:pStyle w:val="null3"/>
              <w:jc w:val="both"/>
            </w:pPr>
            <w:r>
              <w:rPr>
                <w:rFonts w:ascii="仿宋_GB2312" w:hAnsi="仿宋_GB2312" w:cs="仿宋_GB2312" w:eastAsia="仿宋_GB2312"/>
                <w:sz w:val="18"/>
              </w:rPr>
              <w:t>5、储存及效期：试剂盒在-20℃温度下保存，有效期≥12个月，到货后有效期≥10个月。</w:t>
            </w:r>
          </w:p>
          <w:p>
            <w:pPr>
              <w:pStyle w:val="null3"/>
              <w:jc w:val="both"/>
            </w:pPr>
            <w:r>
              <w:rPr>
                <w:rFonts w:ascii="仿宋_GB2312" w:hAnsi="仿宋_GB2312" w:cs="仿宋_GB2312" w:eastAsia="仿宋_GB2312"/>
                <w:sz w:val="18"/>
              </w:rPr>
              <w:t>6、防污染体系：试剂盒配有UNG-dUTP防产物污染系统。</w:t>
            </w:r>
          </w:p>
          <w:p>
            <w:pPr>
              <w:pStyle w:val="null3"/>
              <w:jc w:val="both"/>
            </w:pPr>
            <w:r>
              <w:rPr>
                <w:rFonts w:ascii="仿宋_GB2312" w:hAnsi="仿宋_GB2312" w:cs="仿宋_GB2312" w:eastAsia="仿宋_GB2312"/>
                <w:sz w:val="18"/>
              </w:rPr>
              <w:t>7、适用机型：开放型平台，可适用于各种多通道校正的全自动荧光PCR检测仪。</w:t>
            </w:r>
          </w:p>
          <w:p>
            <w:pPr>
              <w:pStyle w:val="null3"/>
              <w:jc w:val="both"/>
            </w:pPr>
            <w:r>
              <w:rPr>
                <w:rFonts w:ascii="仿宋_GB2312" w:hAnsi="仿宋_GB2312" w:cs="仿宋_GB2312" w:eastAsia="仿宋_GB2312"/>
                <w:sz w:val="18"/>
              </w:rPr>
              <w:t>8、数量：3000人份。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供货期限：</w:t>
            </w:r>
            <w:r>
              <w:rPr>
                <w:rFonts w:ascii="仿宋_GB2312" w:hAnsi="仿宋_GB2312" w:cs="仿宋_GB2312" w:eastAsia="仿宋_GB2312"/>
                <w:sz w:val="18"/>
              </w:rPr>
              <w:t>合同签订完毕接到采购人送货通知后，</w:t>
            </w:r>
            <w:r>
              <w:rPr>
                <w:rFonts w:ascii="仿宋_GB2312" w:hAnsi="仿宋_GB2312" w:cs="仿宋_GB2312" w:eastAsia="仿宋_GB2312"/>
                <w:sz w:val="18"/>
              </w:rPr>
              <w:t>30天内送达采购人指定地点。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rPr>
              <w:t>交货地点：西安市疾病预防控制中心指定地点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rPr>
              <w:t>本项目核心产品</w:t>
            </w:r>
            <w:r>
              <w:rPr>
                <w:rFonts w:ascii="仿宋_GB2312" w:hAnsi="仿宋_GB2312" w:cs="仿宋_GB2312" w:eastAsia="仿宋_GB2312"/>
                <w:sz w:val="18"/>
              </w:rPr>
              <w:t>：呼吸道传染病多病原核酸检测试剂盒</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合同签订完毕接到采购人送货通知后，30天内送达采购人指定地点。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合同签订后，乙方须按其投标文件中响应的供货期按时交货并提供全额合规发票，保证“货票同行”。货物到达甲方指定地点，验收合格后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投标文件正本壹份、副本壹份、电子版壹份（U盘壹份）。若电子投标文件与纸质投标文件不一致的，以纸质投标文件为准；若正本和副本不符，以正本为准。纸质投标文件提交截止时间同开标时间。 2、 供应商务必在开标截止时间30分钟前，通过项目电子化交易系统进行签到，如未进行签到，产生的一切后果由供应商自行承担。 3、投标报价包括项目实施过程中产生的所有费用等。包括不限于出厂价、运费、装卸费、验收费、企业利润及税金等所有费用。 4、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5、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财务状况报告：提供具有财务审计资质单位出具的2023年或2024年度财务报告；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法人或者其他组织的营业执照等证明文件，自然人的身份证明。</w:t>
            </w:r>
          </w:p>
        </w:tc>
        <w:tc>
          <w:tcPr>
            <w:tcW w:type="dxa" w:w="3322"/>
          </w:tcPr>
          <w:p>
            <w:pPr>
              <w:pStyle w:val="null3"/>
            </w:pPr>
            <w:r>
              <w:rPr>
                <w:rFonts w:ascii="仿宋_GB2312" w:hAnsi="仿宋_GB2312" w:cs="仿宋_GB2312" w:eastAsia="仿宋_GB2312"/>
              </w:rPr>
              <w:t>供应商应是独立承担民事责任能力的法人、其 他组织或自然人，法人、其他组织须提供合法 有效的营业执照（或事业单位法人证书）等证 明资料， 自然人须提供身份证明。注：供应商需在项目电子化交易系统中按要求上传相应证明文件并进行电子签章。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所投产品纳入医疗器械管理的，代理商参与的提供医疗器械经营许可证或医疗器械经营备案凭证，及投标产品制造厂商的营业执照、医疗器械生产许可证或医疗器械生产备案凭证；制造厂商参与的提供医疗器械生产许可证或医疗器械生产备案凭证；</w:t>
            </w:r>
          </w:p>
        </w:tc>
        <w:tc>
          <w:tcPr>
            <w:tcW w:type="dxa" w:w="3322"/>
          </w:tcPr>
          <w:p>
            <w:pPr>
              <w:pStyle w:val="null3"/>
            </w:pPr>
            <w:r>
              <w:rPr>
                <w:rFonts w:ascii="仿宋_GB2312" w:hAnsi="仿宋_GB2312" w:cs="仿宋_GB2312" w:eastAsia="仿宋_GB2312"/>
              </w:rPr>
              <w:t xml:space="preserve"> 所投产品纳入医疗器械管理的，代理商参与的提供医疗器械经营许可证或医疗器械经营备案凭证，及投标产品制造厂商的营业执照、医疗器械生产许可证或医疗器械生产备案凭证；制造厂商参与的提供医疗器械生产许可证或医疗器械生产备案凭证；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记录已失效，需提供相关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与其他投标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其他材料.docx 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其他材料.docx 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内容无重大缺漏项，报价唯一，且没有超过采购预算。</w:t>
            </w:r>
          </w:p>
        </w:tc>
        <w:tc>
          <w:tcPr>
            <w:tcW w:type="dxa" w:w="1661"/>
          </w:tcPr>
          <w:p>
            <w:pPr>
              <w:pStyle w:val="null3"/>
            </w:pPr>
            <w:r>
              <w:rPr>
                <w:rFonts w:ascii="仿宋_GB2312" w:hAnsi="仿宋_GB2312" w:cs="仿宋_GB2312" w:eastAsia="仿宋_GB2312"/>
              </w:rPr>
              <w:t>开标一览表.docx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提交投标文件截止之日起不少于90天</w:t>
            </w:r>
          </w:p>
        </w:tc>
        <w:tc>
          <w:tcPr>
            <w:tcW w:type="dxa" w:w="1661"/>
          </w:tcPr>
          <w:p>
            <w:pPr>
              <w:pStyle w:val="null3"/>
            </w:pPr>
            <w:r>
              <w:rPr>
                <w:rFonts w:ascii="仿宋_GB2312" w:hAnsi="仿宋_GB2312" w:cs="仿宋_GB2312" w:eastAsia="仿宋_GB2312"/>
              </w:rPr>
              <w:t>投标函 投标文件封面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定代表人身份证，并与营业执照上信息一致。法定代表人授权代表参加投标的，须出具法定代表人授权书及授权代表身份证，同时提供授权代表由投标单位缴纳的开标日期前连续3个月的社保记录；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开标一览表.docx 技术响应部分.docx 投标函 中小企业声明函 残疾人福利性单位声明函 标的清单 投标文件封面 其他材料.docx 监狱企业的证明文件 法定代表人授权书.docx 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技术响应部分.docx 投标文件封面 商务响应部分.docx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技术响应部分.docx 投标文件封面 商务响应部分.docx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供货数量</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技术响应部分.docx 投标文件封面 商务响应部分.docx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供应商未因违规违纪被列入西安市卫健委系统政府采购“黑名单”</w:t>
            </w:r>
          </w:p>
        </w:tc>
        <w:tc>
          <w:tcPr>
            <w:tcW w:type="dxa" w:w="3322"/>
          </w:tcPr>
          <w:p>
            <w:pPr>
              <w:pStyle w:val="null3"/>
            </w:pPr>
            <w:r>
              <w:rPr>
                <w:rFonts w:ascii="仿宋_GB2312" w:hAnsi="仿宋_GB2312" w:cs="仿宋_GB2312" w:eastAsia="仿宋_GB2312"/>
              </w:rPr>
              <w:t>提供承诺函。</w:t>
            </w:r>
          </w:p>
        </w:tc>
        <w:tc>
          <w:tcPr>
            <w:tcW w:type="dxa" w:w="1661"/>
          </w:tcPr>
          <w:p>
            <w:pPr>
              <w:pStyle w:val="null3"/>
            </w:pPr>
            <w:r>
              <w:rPr>
                <w:rFonts w:ascii="仿宋_GB2312" w:hAnsi="仿宋_GB2312" w:cs="仿宋_GB2312" w:eastAsia="仿宋_GB2312"/>
              </w:rPr>
              <w:t>投标文件封面 其他材料.docx 资格证明资料.docx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产品响应性1</w:t>
            </w:r>
          </w:p>
        </w:tc>
        <w:tc>
          <w:tcPr>
            <w:tcW w:type="dxa" w:w="2492"/>
          </w:tcPr>
          <w:p>
            <w:pPr>
              <w:pStyle w:val="null3"/>
            </w:pPr>
            <w:r>
              <w:rPr>
                <w:rFonts w:ascii="仿宋_GB2312" w:hAnsi="仿宋_GB2312" w:cs="仿宋_GB2312" w:eastAsia="仿宋_GB2312"/>
              </w:rPr>
              <w:t>投标产品配置情况满足招标文件要求无缺漏项得2分，否则不得分。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商务响应部分.docx</w:t>
            </w:r>
          </w:p>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产品响应性2</w:t>
            </w:r>
          </w:p>
        </w:tc>
        <w:tc>
          <w:tcPr>
            <w:tcW w:type="dxa" w:w="2492"/>
          </w:tcPr>
          <w:p>
            <w:pPr>
              <w:pStyle w:val="null3"/>
            </w:pPr>
            <w:r>
              <w:rPr>
                <w:rFonts w:ascii="仿宋_GB2312" w:hAnsi="仿宋_GB2312" w:cs="仿宋_GB2312" w:eastAsia="仿宋_GB2312"/>
              </w:rPr>
              <w:t>选型：试剂品牌、型号、产地明确得2分，否则不得分。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商务响应部分.docx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开标一览表.docx</w:t>
            </w:r>
          </w:p>
        </w:tc>
      </w:tr>
      <w:tr>
        <w:tc>
          <w:tcPr>
            <w:tcW w:type="dxa" w:w="831"/>
            <w:vMerge/>
          </w:tcPr>
          <w:p/>
        </w:tc>
        <w:tc>
          <w:tcPr>
            <w:tcW w:type="dxa" w:w="1661"/>
          </w:tcPr>
          <w:p>
            <w:pPr>
              <w:pStyle w:val="null3"/>
            </w:pPr>
            <w:r>
              <w:rPr>
                <w:rFonts w:ascii="仿宋_GB2312" w:hAnsi="仿宋_GB2312" w:cs="仿宋_GB2312" w:eastAsia="仿宋_GB2312"/>
              </w:rPr>
              <w:t>产品响应性3</w:t>
            </w:r>
          </w:p>
        </w:tc>
        <w:tc>
          <w:tcPr>
            <w:tcW w:type="dxa" w:w="2492"/>
          </w:tcPr>
          <w:p>
            <w:pPr>
              <w:pStyle w:val="null3"/>
            </w:pPr>
            <w:r>
              <w:rPr>
                <w:rFonts w:ascii="仿宋_GB2312" w:hAnsi="仿宋_GB2312" w:cs="仿宋_GB2312" w:eastAsia="仿宋_GB2312"/>
              </w:rPr>
              <w:t>产品的功能及参数完全满足招标文件要求（无负偏离）得10分，每负偏离一项扣1分，扣完为止。注：供应商须提供相关技术指标证明材料予以佐证，若不提供，按负偏离处理。证明材料不限于第三方检测报告、产品彩页、官网功能截图等，证明材料须呈现相应功能。若未体现或截图不清晰，按负偏离处理。供应商自行承担因材料提供不全导致的技术参数评审风险。如出现供应商技术参数完全复制的响应情况，由评委视技术不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产品响应性4</w:t>
            </w:r>
          </w:p>
        </w:tc>
        <w:tc>
          <w:tcPr>
            <w:tcW w:type="dxa" w:w="2492"/>
          </w:tcPr>
          <w:p>
            <w:pPr>
              <w:pStyle w:val="null3"/>
            </w:pPr>
            <w:r>
              <w:rPr>
                <w:rFonts w:ascii="仿宋_GB2312" w:hAnsi="仿宋_GB2312" w:cs="仿宋_GB2312" w:eastAsia="仿宋_GB2312"/>
              </w:rPr>
              <w:t>所投产品技术参数响应表响应内容完整、规范、投标响应技术要求有针对性、响应内容详细得3分；响应内容完整、投标响应技术基本符合采购需求得2分；响应内容不完整得1分；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提供所投产品来源渠道合法的支撑材料（不限于销售协议、代理协议、厂家授权、委托协议等），支撑材料齐全完整符合要求且有效得2分；支撑材料基本符合要求得1分。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承诺所投产品渠道正常，无劣质、假冒、瑕疵产品及产权纠纷，承诺内容全面且清楚得2分；承诺内容基本全面得1分。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质量保证3</w:t>
            </w:r>
          </w:p>
        </w:tc>
        <w:tc>
          <w:tcPr>
            <w:tcW w:type="dxa" w:w="2492"/>
          </w:tcPr>
          <w:p>
            <w:pPr>
              <w:pStyle w:val="null3"/>
            </w:pPr>
            <w:r>
              <w:rPr>
                <w:rFonts w:ascii="仿宋_GB2312" w:hAnsi="仿宋_GB2312" w:cs="仿宋_GB2312" w:eastAsia="仿宋_GB2312"/>
              </w:rPr>
              <w:t>承诺提供所有佐证材料均真实有效，无弄虚作假情形，否则一经发现，无条件接受招标人提出经济处罚或赔偿，承诺内容全面且清楚得2分，承诺内容基本全面得1分。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 提供具体详细的实施方案，方案总体思路清晰，实施方法及工作安排合理，涵盖内容全面，针对性操作性欠缺得4分； 提供较为具体的实施方案，方案总体思路较清晰，实施方法及工作安排较合理，涵盖内容较全面，无针对性得3分； 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提供针对本项目的验收方案，方案科学全面、详细具体、针对性强得5分；方案科学全面、详细具体、针对性较强得4分；方案科学合理、可行得3分；方案基本可行，但不够全面得2分；方案欠缺、不利于实施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仓储及设施设备</w:t>
            </w:r>
          </w:p>
        </w:tc>
        <w:tc>
          <w:tcPr>
            <w:tcW w:type="dxa" w:w="2492"/>
          </w:tcPr>
          <w:p>
            <w:pPr>
              <w:pStyle w:val="null3"/>
            </w:pPr>
            <w:r>
              <w:rPr>
                <w:rFonts w:ascii="仿宋_GB2312" w:hAnsi="仿宋_GB2312" w:cs="仿宋_GB2312" w:eastAsia="仿宋_GB2312"/>
              </w:rPr>
              <w:t>提供与投标产品相适应的仓储及设施设备，经营低温冷藏及特殊产品的应具有完整的冷链储运系统及安全保障；试剂备货充足能确保试剂的正常供应，提供相关证明材料。 材料完整、阐述条理清晰、设施齐全能确保项目顺利实施得3分；材料、设施证明材料基本完成，对产品供应有一定保障得2分；其他情况得1分。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针对本项目提供科学、合理、完整的配送方案，确保试剂耗材在运送过程保质保量及时配送。 方案完整、配送及时、在试剂耗材运送过程中有良好的储存环境，符合试剂耗材相关储存标准，完全满足采购人需求得5分； 方案较完整、能保证配送时间、在试剂耗材运送过程有符合条件的储存环境，基本满足采购人需求得4分； 方案较完整、能保证配送时间，储存环境、标准难以保证得3分； 方案内容简单笼统，无法保证项目质量得2分； 其他情况得1分；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人员配备科学全面、措施详细具体、针对性强计5分；人员配备科学全面、措施详细具体、针对性较强计4分； 人员配备科学全面、措施详细具体、无针对性计3分； 人员配备较科学全面、措施较详细具体计2分； 人员配备内容简单笼统计1分。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提供针对突发事件(如事故、公共卫生事件等)应急响应方案。 提供的应急方案内容详尽，完善，可操作性强得3分；提供的应急方案内容较全，可操作性较好得2分；提供的应急方案，可操作性一般得1分。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投标人提出的有利于采购人及项目实施的合理化建议，建议内容详细具体、针对性强得2分；建议内容基本详细无针对性得1分。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提供具体详细的服务承诺，总体思路清晰，工作安排合理，涵盖内容全面，针对性强得5分；总体思路清晰，工作安排合理，涵盖内容基本全面，针对性强得4分； 总体思路清晰，工作安排合理，涵盖内容基本全面，针对性欠缺得3分； 总体思路清晰，工作安排合理性欠缺，涵盖内容基本全面得2分；提供承诺涵盖内容不全面，无法保证服务质量得1分；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售后服务体系及人员配置方案</w:t>
            </w:r>
          </w:p>
        </w:tc>
        <w:tc>
          <w:tcPr>
            <w:tcW w:type="dxa" w:w="2492"/>
          </w:tcPr>
          <w:p>
            <w:pPr>
              <w:pStyle w:val="null3"/>
            </w:pPr>
            <w:r>
              <w:rPr>
                <w:rFonts w:ascii="仿宋_GB2312" w:hAnsi="仿宋_GB2312" w:cs="仿宋_GB2312" w:eastAsia="仿宋_GB2312"/>
              </w:rPr>
              <w:t>提供具体详细的服务方案，方案思路清晰，工作安排合理，涵盖内容全面，针对性强得5分；方案思路清晰，工作安排合理，涵盖内容基本全面，针对性强得4分； 方案思路清晰，工作安排合理，涵盖内容基本全面，针对性欠缺得3分；方案思路清晰，工作安排合理性欠缺，涵盖内容基本全面得2分；提供承诺涵盖内容不全面，无法保证后续服务得1分；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退/调换货方案</w:t>
            </w:r>
          </w:p>
        </w:tc>
        <w:tc>
          <w:tcPr>
            <w:tcW w:type="dxa" w:w="2492"/>
          </w:tcPr>
          <w:p>
            <w:pPr>
              <w:pStyle w:val="null3"/>
            </w:pPr>
            <w:r>
              <w:rPr>
                <w:rFonts w:ascii="仿宋_GB2312" w:hAnsi="仿宋_GB2312" w:cs="仿宋_GB2312" w:eastAsia="仿宋_GB2312"/>
              </w:rPr>
              <w:t>提供具体详细的服务方案，方案总体思路清晰，工作安排合理，涵盖内容全面，针对性得3分； 提供具体详细的服务方案，方案总体思路清晰，工作安排合理，涵盖内容全面，针对性欠缺得2分； 提供实施方案涵盖内容不全面，无法保证服务质量得1分；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至今同类项目的供货业绩，业绩以合同和对应合同开具的发票复印件为准（发票金额总和应不少于合同金额的60%），时间以签订的合同日期为准,每提供一份合同及对应合同发票的得2分,最高得6分。注：合同内容须清晰可辨认，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各有效供应商的评审价中，取最低者作为基准价，各有效供应商的价格评分统一按照下列公式计算： 价格评分＝（基准价÷评审价）×价格分分值。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详见附件：商务响应部分.docx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