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版本号：LZBE2025-110320250630001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公共安全视频图像智慧应用平台建设项目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LZBE2025-1103</w:t>
      </w:r>
      <w:r>
        <w:br/>
      </w:r>
      <w:r>
        <w:br/>
      </w:r>
      <w:r>
        <w:br/>
      </w:r>
    </w:p>
    <w:p>
      <w:pPr>
        <w:pStyle w:val="null3"/>
        <w:jc w:val="center"/>
        <w:outlineLvl w:val="2"/>
      </w:pPr>
      <w:r>
        <w:rPr>
          <w:rFonts w:ascii="仿宋_GB2312" w:hAnsi="仿宋_GB2312" w:cs="仿宋_GB2312" w:eastAsia="仿宋_GB2312"/>
          <w:sz w:val="28"/>
          <w:b/>
        </w:rPr>
        <w:t>西安市公安局地铁分局</w:t>
      </w:r>
    </w:p>
    <w:p>
      <w:pPr>
        <w:pStyle w:val="null3"/>
        <w:jc w:val="center"/>
        <w:outlineLvl w:val="2"/>
      </w:pPr>
      <w:r>
        <w:rPr>
          <w:rFonts w:ascii="仿宋_GB2312" w:hAnsi="仿宋_GB2312" w:cs="仿宋_GB2312" w:eastAsia="仿宋_GB2312"/>
          <w:sz w:val="28"/>
          <w:b/>
        </w:rPr>
        <w:t>龙寰项目管理咨询有限公司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2025年06月30日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龙寰项目管理咨询有限公司</w:t>
      </w:r>
      <w:r>
        <w:rPr>
          <w:rFonts w:ascii="仿宋_GB2312" w:hAnsi="仿宋_GB2312" w:cs="仿宋_GB2312" w:eastAsia="仿宋_GB2312"/>
        </w:rPr>
        <w:t>（以下简称“代理机构”）受</w:t>
      </w:r>
      <w:r>
        <w:rPr>
          <w:rFonts w:ascii="仿宋_GB2312" w:hAnsi="仿宋_GB2312" w:cs="仿宋_GB2312" w:eastAsia="仿宋_GB2312"/>
        </w:rPr>
        <w:t>西安市公安局地铁分局</w:t>
      </w:r>
      <w:r>
        <w:rPr>
          <w:rFonts w:ascii="仿宋_GB2312" w:hAnsi="仿宋_GB2312" w:cs="仿宋_GB2312" w:eastAsia="仿宋_GB2312"/>
        </w:rPr>
        <w:t>委托，拟对</w:t>
      </w:r>
      <w:r>
        <w:rPr>
          <w:rFonts w:ascii="仿宋_GB2312" w:hAnsi="仿宋_GB2312" w:cs="仿宋_GB2312" w:eastAsia="仿宋_GB2312"/>
        </w:rPr>
        <w:t>公共安全视频图像智慧应用平台建设项目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LZBE2025-1103</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公共安全视频图像智慧应用平台建设项目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西安市公安局地铁分局拟对公共安全视频图像智慧应用平台进行建设，具体详见招标文件。</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采购包1（西安市公安局地铁分局公共安全视频图像智慧应用平台建设项目）：属于专门面向中小企业采购。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能力的法人、其他组织或自然人：法人或者其他组织提供营业执照、事业单位法人证书等证明文件，自然人提供身份证件，供应商需在项目电子化交易系统中按要求上传相应证明文件并进行电子签章</w:t>
      </w:r>
    </w:p>
    <w:p>
      <w:pPr>
        <w:pStyle w:val="null3"/>
      </w:pPr>
      <w:r>
        <w:rPr>
          <w:rFonts w:ascii="仿宋_GB2312" w:hAnsi="仿宋_GB2312" w:cs="仿宋_GB2312" w:eastAsia="仿宋_GB2312"/>
        </w:rPr>
        <w:t>2、身份证明文件：法定代表人（单位负责人）授权委托书（附法定代表人（单位负责人）、被授权人身份证复印件及被授权人近三个月社保缴纳的证明资料）（法定代表人（单位负责人）直接参加的，须提供法定代表人（单位负责人）身份证明书及身份证复印件且与营业执照上信息须一致），供应商需在项目电子化交易系统中按要求上传相应证明文件并进行电子签章</w:t>
      </w:r>
    </w:p>
    <w:p>
      <w:pPr>
        <w:pStyle w:val="null3"/>
      </w:pPr>
      <w:r>
        <w:rPr>
          <w:rFonts w:ascii="仿宋_GB2312" w:hAnsi="仿宋_GB2312" w:cs="仿宋_GB2312" w:eastAsia="仿宋_GB2312"/>
        </w:rPr>
        <w:t>3、社会保险缴纳的凭证：供应商在本项目投标文件递交截止时间前十二个月内任意时段的社会保障资金缴存单据或社保机构开具的社会保险参保缴费情况证明材料，依法免缴社保的供应商应提供相关证明文件，供应商需在项目电子化交易系统中按要求上传相应证明文件并进行电子签章</w:t>
      </w:r>
    </w:p>
    <w:p>
      <w:pPr>
        <w:pStyle w:val="null3"/>
      </w:pPr>
      <w:r>
        <w:rPr>
          <w:rFonts w:ascii="仿宋_GB2312" w:hAnsi="仿宋_GB2312" w:cs="仿宋_GB2312" w:eastAsia="仿宋_GB2312"/>
        </w:rPr>
        <w:t>4、税收缴纳凭证：供应商在本项目投标文件递交截止时间前十二个月内已缴纳任意时段、任意税种凭证或税务机关开具的完税证明材料，依法免缴税收的供应商应提供相关证明文件，供应商需在项目电子化交易系统中按要求上传相应证明文件并进行电子签章</w:t>
      </w:r>
    </w:p>
    <w:p>
      <w:pPr>
        <w:pStyle w:val="null3"/>
      </w:pPr>
      <w:r>
        <w:rPr>
          <w:rFonts w:ascii="仿宋_GB2312" w:hAnsi="仿宋_GB2312" w:cs="仿宋_GB2312" w:eastAsia="仿宋_GB2312"/>
        </w:rPr>
        <w:t>5、供应商提供具有履行合同所必需的设备和专业技术能力、参加政府采购活动前3年内在经营活动中没有重大违法记录的书面承诺，其中：重大违法记录是指供应商因违法经营受到刑事处罚或者责令停产停业、吊销许可证或者执照、较大数额罚款等行政处罚：供应商提供具有履行合同所必需的设备和专业技术能力、参加政府采购活动前3年内在经营活动中没有重大违法记录的书面承诺，供应商需在项目电子化交易系统中按要求上传相应证明文件并进行电子签章</w:t>
      </w:r>
    </w:p>
    <w:p>
      <w:pPr>
        <w:pStyle w:val="null3"/>
      </w:pPr>
      <w:r>
        <w:rPr>
          <w:rFonts w:ascii="仿宋_GB2312" w:hAnsi="仿宋_GB2312" w:cs="仿宋_GB2312" w:eastAsia="仿宋_GB2312"/>
        </w:rPr>
        <w:t>6、财务状况：供应商提供2024年度经审计的财务报告（事业法人可提供部门决算报告）或提供开标日前三个月内基本存款账户银行出具的资信证明及基本存款账户银行相关证明资料或政府采购专业担保机构出具的投标担保函，供应商需在项目电子化交易系统中按要求上传相应证明文件并进行电子签章</w:t>
      </w:r>
    </w:p>
    <w:p>
      <w:pPr>
        <w:pStyle w:val="null3"/>
      </w:pPr>
      <w:r>
        <w:rPr>
          <w:rFonts w:ascii="仿宋_GB2312" w:hAnsi="仿宋_GB2312" w:cs="仿宋_GB2312" w:eastAsia="仿宋_GB2312"/>
        </w:rPr>
        <w:t>7、其他要求：单位负责人为同一人或者存在直接控股、管理关系的不同供应商不得参加同一合同项下的政府采购活动；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为本项目提供整体设计、规范编制或者项目管理、监理、检测等服务的供应商，不得再参加该采购项目的其他采购活动，供应商需在项目电子化交易系统中按要求上传相应证明文件并进行电子签章</w:t>
      </w:r>
    </w:p>
    <w:p>
      <w:pPr>
        <w:pStyle w:val="null3"/>
      </w:pPr>
      <w:r>
        <w:rPr>
          <w:rFonts w:ascii="仿宋_GB2312" w:hAnsi="仿宋_GB2312" w:cs="仿宋_GB2312" w:eastAsia="仿宋_GB2312"/>
        </w:rPr>
        <w:t>8、供应商信用状况：供应商不得为“信用中国”网站（www.creditchina.gov.cn）中列入失信被执行人和重大税收违法失信主体的供应商，不得为中国政府采购网（www.ccgp.gov.cn）政府采购严重违法失信行为记录名单中被财政部门禁止参加政府采购活动的供应商。以开标后网站查询结果为准</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西安市公安局地铁分局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西安市未央区凤城八路126号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崔主任</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029-86321055</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龙寰项目管理咨询有限公司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西安市太白南路181号西部电子社区A座A区501室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潘乐、孙承国、刘强</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029-88228899-655、650</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采购包1：2,990,000.00元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履约保证金：中标人须按照中标金额的5％，作为履约保证金在签订合同前向西安市公安局地铁分局缴纳。项目终验合格后一个月内全额无息一次性退付中标人。缴纳形式：以保函、担保、本票等非现金形式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本项目招标代理服务费以中标金额作为收费基数，参照计价格[2002]1980号、发改价格[2011]534号、发改办价格〔2003〕857号中服务类执行。2、中标单位在领取中标通知书之前，须向代理机构支付招标代理服务费。 招标代理服务费以转账或现金形式缴纳至以下账户： 开户名称：龙寰项目管理咨询有限公司 开户银行：平安银行西安高新路支行 账 号：30201278017041</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是否组织潜在投标人现场考察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 出现上述的情形，不影响采购公平、公正的，采购人或者采购代理机构可以待上述情形消除后继续组织采购活动；影响或者可能影响采购公平、公正的，采购人或者采购代理机构应当依法废标。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西安市公安局地铁分局</w:t>
      </w:r>
      <w:r>
        <w:rPr>
          <w:rFonts w:ascii="仿宋_GB2312" w:hAnsi="仿宋_GB2312" w:cs="仿宋_GB2312" w:eastAsia="仿宋_GB2312"/>
        </w:rPr>
        <w:t>和</w:t>
      </w:r>
      <w:r>
        <w:rPr>
          <w:rFonts w:ascii="仿宋_GB2312" w:hAnsi="仿宋_GB2312" w:cs="仿宋_GB2312" w:eastAsia="仿宋_GB2312"/>
        </w:rPr>
        <w:t>龙寰项目管理咨询有限公司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西安市公安局地铁分局</w:t>
      </w:r>
      <w:r>
        <w:rPr>
          <w:rFonts w:ascii="仿宋_GB2312" w:hAnsi="仿宋_GB2312" w:cs="仿宋_GB2312" w:eastAsia="仿宋_GB2312"/>
        </w:rPr>
        <w:t>负责解释。除上述招标文件内容，其他内容由</w:t>
      </w:r>
      <w:r>
        <w:rPr>
          <w:rFonts w:ascii="仿宋_GB2312" w:hAnsi="仿宋_GB2312" w:cs="仿宋_GB2312" w:eastAsia="仿宋_GB2312"/>
        </w:rPr>
        <w:t>龙寰项目管理咨询有限公司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西安市公安局地铁分局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龙寰项目管理咨询有限公司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rFonts w:ascii="仿宋_GB2312" w:hAnsi="仿宋_GB2312" w:cs="仿宋_GB2312" w:eastAsia="仿宋_GB2312"/>
          <w:sz w:val="24"/>
          <w:b/>
        </w:rPr>
        <w:t>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jc w:val="left"/>
      </w:pPr>
      <w:r>
        <w:rPr>
          <w:rFonts w:ascii="仿宋_GB2312" w:hAnsi="仿宋_GB2312" w:cs="仿宋_GB2312" w:eastAsia="仿宋_GB2312"/>
        </w:rPr>
        <w:t xml:space="preserve"> 投标文件提交截止时间前30分钟，投标人登录项目电子化交易系统-“开标/开启大厅”参与开标。</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二、中标供应商转包的，视同拒绝履行政府采购合同，将依法追究法律责任。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满足国家及行业相关标准，满足招标文件要求，具体以甲乙双方签订的合同为准。</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2.7.2投标人不得具有的情形（实质性要求）</w:t>
      </w:r>
    </w:p>
    <w:p>
      <w:pPr>
        <w:pStyle w:val="null3"/>
        <w:ind w:firstLine="480"/>
      </w:pPr>
      <w:r>
        <w:rPr>
          <w:rFonts w:ascii="仿宋_GB2312" w:hAnsi="仿宋_GB2312" w:cs="仿宋_GB2312" w:eastAsia="仿宋_GB2312"/>
        </w:rPr>
        <w:t>投标人参加投标不得有下列情形：</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八、未按照招标文件确定的事项签订政府采购合同；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投标人有上述情形的，按照规定追究法律责任，具有前述一至十三条情形之一的，其投标文件无效，或取消被确认为中标供应商的资格或认定中标无效。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龙寰项目管理咨询有限公司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龙寰项目管理咨询有限公司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龙寰项目管理咨询有限公司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 （一）对可以质疑的采购文件提出质疑的，为收到采购文件之日或者采购文件公告期限届满之日； （二）对采购过程提出质疑的，为各采购程序环节结束之日；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联系人：潘乐、孙承国、刘强</w:t>
      </w:r>
    </w:p>
    <w:p>
      <w:pPr>
        <w:pStyle w:val="null3"/>
      </w:pPr>
      <w:r>
        <w:rPr>
          <w:rFonts w:ascii="仿宋_GB2312" w:hAnsi="仿宋_GB2312" w:cs="仿宋_GB2312" w:eastAsia="仿宋_GB2312"/>
        </w:rPr>
        <w:t>联系电话：029-88228899-655、650</w:t>
      </w:r>
    </w:p>
    <w:p>
      <w:pPr>
        <w:pStyle w:val="null3"/>
      </w:pPr>
      <w:r>
        <w:rPr>
          <w:rFonts w:ascii="仿宋_GB2312" w:hAnsi="仿宋_GB2312" w:cs="仿宋_GB2312" w:eastAsia="仿宋_GB2312"/>
        </w:rPr>
        <w:t>地址：西安市太白南路181号西部电子社区A座A区501室</w:t>
      </w:r>
    </w:p>
    <w:p>
      <w:pPr>
        <w:pStyle w:val="null3"/>
      </w:pPr>
      <w:r>
        <w:rPr>
          <w:rFonts w:ascii="仿宋_GB2312" w:hAnsi="仿宋_GB2312" w:cs="仿宋_GB2312" w:eastAsia="仿宋_GB2312"/>
        </w:rPr>
        <w:t>邮编：/</w:t>
      </w:r>
    </w:p>
    <w:p>
      <w:pPr>
        <w:pStyle w:val="null3"/>
        <w:ind w:firstLine="480"/>
      </w:pPr>
      <w:r>
        <w:rPr>
          <w:rFonts w:ascii="仿宋_GB2312" w:hAnsi="仿宋_GB2312" w:cs="仿宋_GB2312" w:eastAsia="仿宋_GB2312"/>
        </w:rPr>
        <w:t>注：根据《中华人民共和国政府采购法》的规定，供应商质疑不得超出招标文件、采购过程、采购结果的范围。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西安市公安局地铁分局拟对公共安全视频图像智慧应用平台进行建设，具体详见招标文件。</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2,990,000.00</w:t>
      </w:r>
    </w:p>
    <w:p>
      <w:pPr>
        <w:pStyle w:val="null3"/>
      </w:pPr>
      <w:r>
        <w:rPr>
          <w:rFonts w:ascii="仿宋_GB2312" w:hAnsi="仿宋_GB2312" w:cs="仿宋_GB2312" w:eastAsia="仿宋_GB2312"/>
        </w:rPr>
        <w:t>采购包最高限价（元）: 2,820,000.00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公共安全视频图像智慧应用平台建设</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2,990,000.00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软件和信息技术服务业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标的名称：公共安全视频图像智慧应用平台建设</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rPr>
              <w:t>一、项目背景</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．情况介绍</w:t>
            </w:r>
          </w:p>
          <w:p>
            <w:pPr>
              <w:pStyle w:val="null3"/>
              <w:jc w:val="both"/>
            </w:pPr>
            <w:r>
              <w:rPr>
                <w:rFonts w:ascii="仿宋_GB2312" w:hAnsi="仿宋_GB2312" w:cs="仿宋_GB2312" w:eastAsia="仿宋_GB2312"/>
                <w:sz w:val="21"/>
              </w:rPr>
              <w:t>当前地铁公安在日常警务工作中针对危险分子、群体事件等违法犯罪行为往往具有发现难、打击难、防范难、管控难等问题。</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）人工布控效率低</w:t>
            </w:r>
          </w:p>
          <w:p>
            <w:pPr>
              <w:pStyle w:val="null3"/>
              <w:jc w:val="both"/>
            </w:pPr>
            <w:r>
              <w:rPr>
                <w:rFonts w:ascii="仿宋_GB2312" w:hAnsi="仿宋_GB2312" w:cs="仿宋_GB2312" w:eastAsia="仿宋_GB2312"/>
                <w:sz w:val="21"/>
              </w:rPr>
              <w:t>目前，地铁公安日常查控基本采用人工排查的方式，常常受到警力有限、巡控区域有限等条件限制，效率很低，往往会存在犯罪嫌疑人不能及时被发现的现象，迫切需要高效准确的技术手段通过</w:t>
            </w:r>
            <w:r>
              <w:rPr>
                <w:rFonts w:ascii="仿宋_GB2312" w:hAnsi="仿宋_GB2312" w:cs="仿宋_GB2312" w:eastAsia="仿宋_GB2312"/>
                <w:sz w:val="21"/>
              </w:rPr>
              <w:t>“机器代人”来提高工作效率。</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）盘查方式不友好</w:t>
            </w:r>
          </w:p>
          <w:p>
            <w:pPr>
              <w:pStyle w:val="null3"/>
              <w:jc w:val="both"/>
            </w:pPr>
            <w:r>
              <w:rPr>
                <w:rFonts w:ascii="仿宋_GB2312" w:hAnsi="仿宋_GB2312" w:cs="仿宋_GB2312" w:eastAsia="仿宋_GB2312"/>
                <w:sz w:val="21"/>
              </w:rPr>
              <w:t>当前采用的面对面的盘查方式，对于人员较多、流动性较大的地铁区域，容易造成拥堵，而且此种目的性不强的盘查方式往往成功率不高，而且会给人带来不好的观感。危险份子发现有盘查行为往往采取隐藏、躲避等方式逃脱，普通人民群众遇到盘查往往会很反感甚至不愿配合，因此迫切需要有更友好的非接触式的方式来进行识别辨认。</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）警情响应不及时</w:t>
            </w:r>
          </w:p>
          <w:p>
            <w:pPr>
              <w:pStyle w:val="null3"/>
              <w:jc w:val="both"/>
            </w:pPr>
            <w:r>
              <w:rPr>
                <w:rFonts w:ascii="仿宋_GB2312" w:hAnsi="仿宋_GB2312" w:cs="仿宋_GB2312" w:eastAsia="仿宋_GB2312"/>
                <w:sz w:val="21"/>
              </w:rPr>
              <w:t>由于不能及时有效的发现、识别目标人员的身份，了解目标人更多的相关信息，即使发现危险人员也往往由于没有信息配合作战，没有成熟有效的战法机制而导致无法做出有效的处理。因此在大多时候传统监控系统只能用于事后取证，无法起到及时发现、实时报警的作用。</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．需求现状</w:t>
            </w:r>
          </w:p>
          <w:p>
            <w:pPr>
              <w:pStyle w:val="null3"/>
              <w:jc w:val="both"/>
            </w:pPr>
            <w:r>
              <w:rPr>
                <w:rFonts w:ascii="仿宋_GB2312" w:hAnsi="仿宋_GB2312" w:cs="仿宋_GB2312" w:eastAsia="仿宋_GB2312"/>
                <w:sz w:val="21"/>
              </w:rPr>
              <w:t>地铁交通有着区别于地面交通不同的运营环境，迫切需要建立健全以人脸识别为主的人工智能技术的实施应用。</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）目前，公交轨道公安局仅掌握传统监控视频，并不能提供人脸识别及人像应用服务。</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）地铁轨道交通具有运量大、价格便宜的特点，是许多民众出行的首选方式，也一直是不法分子实施不法行为的主要场所之一。</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）地铁车站人流密集，人员嘈杂，容易成为少数不法分子实施行动的场所，一旦发生事件，国家及人民的安全会遭受重大损失。</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）地铁轨道交通辖区具有环境稳定，相对封闭的特点，有利于对不法分子的布控和抓捕。</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5</w:t>
            </w:r>
            <w:r>
              <w:rPr>
                <w:rFonts w:ascii="仿宋_GB2312" w:hAnsi="仿宋_GB2312" w:cs="仿宋_GB2312" w:eastAsia="仿宋_GB2312"/>
                <w:sz w:val="21"/>
              </w:rPr>
              <w:t>）很多地铁轨道交通大都是新式建筑，基础设施良好、建设标准较高，有利于信息化建设的实现和部署。</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6</w:t>
            </w:r>
            <w:r>
              <w:rPr>
                <w:rFonts w:ascii="仿宋_GB2312" w:hAnsi="仿宋_GB2312" w:cs="仿宋_GB2312" w:eastAsia="仿宋_GB2312"/>
                <w:sz w:val="21"/>
              </w:rPr>
              <w:t>）地铁轨道交通内部光线稳定、环境通道化，是人像数据采集的使用场景，可以为城市管理提供一个稳定高效的数据来源。</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．技术要求</w:t>
            </w:r>
          </w:p>
          <w:p>
            <w:pPr>
              <w:pStyle w:val="null3"/>
              <w:jc w:val="both"/>
            </w:pPr>
            <w:r>
              <w:rPr>
                <w:rFonts w:ascii="仿宋_GB2312" w:hAnsi="仿宋_GB2312" w:cs="仿宋_GB2312" w:eastAsia="仿宋_GB2312"/>
                <w:sz w:val="21"/>
              </w:rPr>
              <w:t>3.1</w:t>
            </w:r>
            <w:r>
              <w:rPr>
                <w:rFonts w:ascii="仿宋_GB2312" w:hAnsi="仿宋_GB2312" w:cs="仿宋_GB2312" w:eastAsia="仿宋_GB2312"/>
                <w:sz w:val="21"/>
              </w:rPr>
              <w:t>建设思路</w:t>
            </w:r>
          </w:p>
          <w:p>
            <w:pPr>
              <w:pStyle w:val="null3"/>
              <w:jc w:val="both"/>
            </w:pPr>
            <w:r>
              <w:rPr>
                <w:rFonts w:ascii="仿宋_GB2312" w:hAnsi="仿宋_GB2312" w:cs="仿宋_GB2312" w:eastAsia="仿宋_GB2312"/>
                <w:sz w:val="21"/>
              </w:rPr>
              <w:t>本期建设的系统聚焦地铁站点</w:t>
            </w:r>
            <w:r>
              <w:rPr>
                <w:rFonts w:ascii="仿宋_GB2312" w:hAnsi="仿宋_GB2312" w:cs="仿宋_GB2312" w:eastAsia="仿宋_GB2312"/>
                <w:sz w:val="21"/>
              </w:rPr>
              <w:t>480</w:t>
            </w:r>
            <w:r>
              <w:rPr>
                <w:rFonts w:ascii="仿宋_GB2312" w:hAnsi="仿宋_GB2312" w:cs="仿宋_GB2312" w:eastAsia="仿宋_GB2312"/>
                <w:sz w:val="21"/>
              </w:rPr>
              <w:t>路视频监控，由前端采集分析设备、业务服务器、解析检索服务器、视图库存储服务器及后端软件平台组成。系统完成人脸抓拍（视频流）、人脸检测（视频流）、人脸特征提取、人脸识别等功能。</w:t>
            </w:r>
          </w:p>
          <w:p>
            <w:pPr>
              <w:pStyle w:val="null3"/>
              <w:jc w:val="both"/>
            </w:pPr>
            <w:r>
              <w:rPr>
                <w:rFonts w:ascii="仿宋_GB2312" w:hAnsi="仿宋_GB2312" w:cs="仿宋_GB2312" w:eastAsia="仿宋_GB2312"/>
                <w:sz w:val="21"/>
              </w:rPr>
              <w:t>地铁站通过采集分析设备完成前端视频流到抓拍流的转换，通过</w:t>
            </w:r>
            <w:r>
              <w:rPr>
                <w:rFonts w:ascii="仿宋_GB2312" w:hAnsi="仿宋_GB2312" w:cs="仿宋_GB2312" w:eastAsia="仿宋_GB2312"/>
                <w:sz w:val="21"/>
              </w:rPr>
              <w:t>GA/T1400</w:t>
            </w:r>
            <w:r>
              <w:rPr>
                <w:rFonts w:ascii="仿宋_GB2312" w:hAnsi="仿宋_GB2312" w:cs="仿宋_GB2312" w:eastAsia="仿宋_GB2312"/>
                <w:sz w:val="21"/>
              </w:rPr>
              <w:t>标准</w:t>
            </w:r>
            <w:r>
              <w:rPr>
                <w:rFonts w:ascii="仿宋_GB2312" w:hAnsi="仿宋_GB2312" w:cs="仿宋_GB2312" w:eastAsia="仿宋_GB2312"/>
                <w:sz w:val="21"/>
              </w:rPr>
              <w:t>上传人脸相关数据到标准视图库</w:t>
            </w:r>
            <w:r>
              <w:rPr>
                <w:rFonts w:ascii="仿宋_GB2312" w:hAnsi="仿宋_GB2312" w:cs="仿宋_GB2312" w:eastAsia="仿宋_GB2312"/>
                <w:sz w:val="21"/>
              </w:rPr>
              <w:t>，地铁中的人脸比对系统完成动态人脸识别比对、以图搜图，最终统一在情指中心展现。</w:t>
            </w:r>
          </w:p>
          <w:p>
            <w:pPr>
              <w:pStyle w:val="null3"/>
              <w:jc w:val="both"/>
            </w:pPr>
            <w:r>
              <w:rPr>
                <w:rFonts w:ascii="仿宋_GB2312" w:hAnsi="仿宋_GB2312" w:cs="仿宋_GB2312" w:eastAsia="仿宋_GB2312"/>
                <w:sz w:val="21"/>
              </w:rPr>
              <w:t>本系统以服务实战为目标，建设开放共享的人脸识别系统，充分利用智能识别、大数据等先进技术，建设互联互通的耦合式系统架构，充分实现业务流程化处理，实现事情、事中、事后一体化操作流程。系统重点是实现动态条件下的人脸识别、人脸布控及处理机制，主要完成以下工作：</w:t>
            </w:r>
          </w:p>
          <w:p>
            <w:pPr>
              <w:pStyle w:val="null3"/>
              <w:jc w:val="both"/>
            </w:pPr>
            <w:r>
              <w:rPr>
                <w:rFonts w:ascii="仿宋_GB2312" w:hAnsi="仿宋_GB2312" w:cs="仿宋_GB2312" w:eastAsia="仿宋_GB2312"/>
                <w:sz w:val="21"/>
              </w:rPr>
              <w:t>第一，人脸识别准确率、漏报率要满足实战基本要求。</w:t>
            </w:r>
          </w:p>
          <w:p>
            <w:pPr>
              <w:pStyle w:val="null3"/>
              <w:jc w:val="both"/>
            </w:pPr>
            <w:r>
              <w:rPr>
                <w:rFonts w:ascii="仿宋_GB2312" w:hAnsi="仿宋_GB2312" w:cs="仿宋_GB2312" w:eastAsia="仿宋_GB2312"/>
                <w:sz w:val="21"/>
              </w:rPr>
              <w:t>第二，充分根据用户需求，设计一套人脸识别工作机制，完善业务流程，从而实现规范化管理、操作，数字化记录。</w:t>
            </w:r>
          </w:p>
          <w:p>
            <w:pPr>
              <w:pStyle w:val="null3"/>
              <w:jc w:val="both"/>
            </w:pPr>
            <w:r>
              <w:rPr>
                <w:rFonts w:ascii="仿宋_GB2312" w:hAnsi="仿宋_GB2312" w:cs="仿宋_GB2312" w:eastAsia="仿宋_GB2312"/>
                <w:sz w:val="21"/>
              </w:rPr>
              <w:t>3.2</w:t>
            </w:r>
            <w:r>
              <w:rPr>
                <w:rFonts w:ascii="仿宋_GB2312" w:hAnsi="仿宋_GB2312" w:cs="仿宋_GB2312" w:eastAsia="仿宋_GB2312"/>
                <w:sz w:val="21"/>
              </w:rPr>
              <w:t>设计原则</w:t>
            </w:r>
          </w:p>
          <w:p>
            <w:pPr>
              <w:pStyle w:val="null3"/>
              <w:jc w:val="both"/>
            </w:pPr>
            <w:r>
              <w:rPr>
                <w:rFonts w:ascii="仿宋_GB2312" w:hAnsi="仿宋_GB2312" w:cs="仿宋_GB2312" w:eastAsia="仿宋_GB2312"/>
                <w:sz w:val="21"/>
              </w:rPr>
              <w:t>在建设整个系统时</w:t>
            </w:r>
            <w:r>
              <w:rPr>
                <w:rFonts w:ascii="仿宋_GB2312" w:hAnsi="仿宋_GB2312" w:cs="仿宋_GB2312" w:eastAsia="仿宋_GB2312"/>
                <w:sz w:val="21"/>
              </w:rPr>
              <w:t>,</w:t>
            </w:r>
            <w:r>
              <w:rPr>
                <w:rFonts w:ascii="仿宋_GB2312" w:hAnsi="仿宋_GB2312" w:cs="仿宋_GB2312" w:eastAsia="仿宋_GB2312"/>
                <w:sz w:val="21"/>
              </w:rPr>
              <w:t>须</w:t>
            </w:r>
            <w:r>
              <w:rPr>
                <w:rFonts w:ascii="仿宋_GB2312" w:hAnsi="仿宋_GB2312" w:cs="仿宋_GB2312" w:eastAsia="仿宋_GB2312"/>
                <w:sz w:val="21"/>
              </w:rPr>
              <w:t>以</w:t>
            </w:r>
            <w:r>
              <w:rPr>
                <w:rFonts w:ascii="仿宋_GB2312" w:hAnsi="仿宋_GB2312" w:cs="仿宋_GB2312" w:eastAsia="仿宋_GB2312"/>
                <w:sz w:val="21"/>
              </w:rPr>
              <w:t>“技术先进、稳定可靠、贴近用户、经济实用、安全防护”为基本原则</w:t>
            </w:r>
            <w:r>
              <w:rPr>
                <w:rFonts w:ascii="仿宋_GB2312" w:hAnsi="仿宋_GB2312" w:cs="仿宋_GB2312" w:eastAsia="仿宋_GB2312"/>
                <w:sz w:val="21"/>
              </w:rPr>
              <w:t>进行</w:t>
            </w:r>
            <w:r>
              <w:rPr>
                <w:rFonts w:ascii="仿宋_GB2312" w:hAnsi="仿宋_GB2312" w:cs="仿宋_GB2312" w:eastAsia="仿宋_GB2312"/>
                <w:sz w:val="21"/>
              </w:rPr>
              <w:t>系统设计。</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．建设目标</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建立以人脸识别等信息化手段为切入点的快速响应体系。</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完成</w:t>
            </w:r>
            <w:r>
              <w:rPr>
                <w:rFonts w:ascii="仿宋_GB2312" w:hAnsi="仿宋_GB2312" w:cs="仿宋_GB2312" w:eastAsia="仿宋_GB2312"/>
                <w:sz w:val="21"/>
              </w:rPr>
              <w:t>480</w:t>
            </w:r>
            <w:r>
              <w:rPr>
                <w:rFonts w:ascii="仿宋_GB2312" w:hAnsi="仿宋_GB2312" w:cs="仿宋_GB2312" w:eastAsia="仿宋_GB2312"/>
                <w:sz w:val="21"/>
              </w:rPr>
              <w:t>路监控视频的人脸提取、建库，完成后端操作平台、人脸比对平台建设。</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促进视频动态人脸识别等高科技手段在地铁安保工作中的实战应用。</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both"/>
            </w:pPr>
            <w:r>
              <w:rPr>
                <w:rFonts w:ascii="仿宋_GB2312" w:hAnsi="仿宋_GB2312" w:cs="仿宋_GB2312" w:eastAsia="仿宋_GB2312"/>
                <w:sz w:val="21"/>
              </w:rPr>
              <w:t>二、建设要求和内容</w:t>
            </w:r>
          </w:p>
          <w:p>
            <w:pPr>
              <w:pStyle w:val="null3"/>
              <w:jc w:val="both"/>
            </w:pPr>
            <w:r>
              <w:rPr>
                <w:rFonts w:ascii="仿宋_GB2312" w:hAnsi="仿宋_GB2312" w:cs="仿宋_GB2312" w:eastAsia="仿宋_GB2312"/>
                <w:sz w:val="21"/>
              </w:rPr>
              <w:t>本项目主要建设一套智能人像识别系统平台，包含前后端软硬件。</w:t>
            </w:r>
          </w:p>
          <w:p>
            <w:pPr>
              <w:pStyle w:val="null3"/>
              <w:jc w:val="both"/>
            </w:pPr>
            <w:r>
              <w:rPr>
                <w:rFonts w:ascii="仿宋_GB2312" w:hAnsi="仿宋_GB2312" w:cs="仿宋_GB2312" w:eastAsia="仿宋_GB2312"/>
                <w:sz w:val="21"/>
              </w:rPr>
              <w:t>硬件部分，利旧地铁现有前端摄像机、网络设施、安全系统等，在前端站台新建智能分析盒，将摄像头的视频流数据转换为人脸图片流数据，用于后端系统的结构化分析。在后端新建智能人像识别系统平台硬件，包括业务服务器、解析检索服务器、视图库存储服务器等，用以支撑整体系统平台的正常运行。</w:t>
            </w:r>
          </w:p>
          <w:p>
            <w:pPr>
              <w:pStyle w:val="null3"/>
              <w:jc w:val="both"/>
            </w:pPr>
            <w:r>
              <w:rPr>
                <w:rFonts w:ascii="仿宋_GB2312" w:hAnsi="仿宋_GB2312" w:cs="仿宋_GB2312" w:eastAsia="仿宋_GB2312"/>
                <w:sz w:val="21"/>
              </w:rPr>
              <w:t>软件部分，开发公共安全视频图像管理平台软件、平台基础管理模块、人像解析模块、人脸检索模块、视图库及标准接口，具备结构化人脸数据及解析检索能力、布控预警、以图搜图等核心能力。其中，人像结构化需支持提取特征值形成人像结构化数据库；图像比对支持将所提供的图片提取特征值结构化数据，并与结构化数据库进行比对并输出结果。</w:t>
            </w:r>
          </w:p>
          <w:p>
            <w:pPr>
              <w:pStyle w:val="null3"/>
              <w:jc w:val="both"/>
            </w:pPr>
            <w:r>
              <w:rPr>
                <w:rFonts w:ascii="仿宋_GB2312" w:hAnsi="仿宋_GB2312" w:cs="仿宋_GB2312" w:eastAsia="仿宋_GB2312"/>
                <w:sz w:val="21"/>
              </w:rPr>
              <w:t>前端视频采集分析设备输出标准数据，后端视图库按照最新标准建设，方便后续扩容。</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jc w:val="both"/>
            </w:pPr>
            <w:r>
              <w:rPr>
                <w:rFonts w:ascii="仿宋_GB2312" w:hAnsi="仿宋_GB2312" w:cs="仿宋_GB2312" w:eastAsia="仿宋_GB2312"/>
                <w:sz w:val="21"/>
              </w:rPr>
              <w:t>项目采购清单如下表：</w:t>
            </w:r>
          </w:p>
          <w:tbl>
            <w:tblPr>
              <w:tblBorders>
                <w:top w:val="none" w:color="000000" w:sz="4"/>
                <w:left w:val="none" w:color="000000" w:sz="4"/>
                <w:bottom w:val="none" w:color="000000" w:sz="4"/>
                <w:right w:val="none" w:color="000000" w:sz="4"/>
                <w:insideH w:val="none"/>
                <w:insideV w:val="none"/>
              </w:tblBorders>
            </w:tblPr>
            <w:tblGrid>
              <w:gridCol w:w="263"/>
              <w:gridCol w:w="322"/>
              <w:gridCol w:w="1268"/>
              <w:gridCol w:w="238"/>
              <w:gridCol w:w="207"/>
              <w:gridCol w:w="253"/>
            </w:tblGrid>
            <w:tr>
              <w:tc>
                <w:tcPr>
                  <w:tcW w:type="dxa" w:w="26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序号</w:t>
                  </w:r>
                </w:p>
              </w:tc>
              <w:tc>
                <w:tcPr>
                  <w:tcW w:type="dxa" w:w="32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设备及硬件名称</w:t>
                  </w:r>
                </w:p>
              </w:tc>
              <w:tc>
                <w:tcPr>
                  <w:tcW w:type="dxa" w:w="126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主要性能指标</w:t>
                  </w:r>
                </w:p>
              </w:tc>
              <w:tc>
                <w:tcPr>
                  <w:tcW w:type="dxa" w:w="23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数量</w:t>
                  </w:r>
                </w:p>
              </w:tc>
              <w:tc>
                <w:tcPr>
                  <w:tcW w:type="dxa" w:w="20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单位</w:t>
                  </w:r>
                </w:p>
              </w:tc>
              <w:tc>
                <w:tcPr>
                  <w:tcW w:type="dxa" w:w="25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备注</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业务服务器</w:t>
                  </w:r>
                </w:p>
              </w:tc>
              <w:tc>
                <w:tcPr>
                  <w:tcW w:type="dxa" w:w="12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配置不低于：</w:t>
                  </w:r>
                </w:p>
                <w:p>
                  <w:pPr>
                    <w:pStyle w:val="null3"/>
                    <w:jc w:val="both"/>
                  </w:pPr>
                  <w:r>
                    <w:rPr>
                      <w:rFonts w:ascii="仿宋_GB2312" w:hAnsi="仿宋_GB2312" w:cs="仿宋_GB2312" w:eastAsia="仿宋_GB2312"/>
                      <w:sz w:val="21"/>
                    </w:rPr>
                    <w:t>CPU</w:t>
                  </w:r>
                  <w:r>
                    <w:rPr>
                      <w:rFonts w:ascii="仿宋_GB2312" w:hAnsi="仿宋_GB2312" w:cs="仿宋_GB2312" w:eastAsia="仿宋_GB2312"/>
                      <w:sz w:val="21"/>
                    </w:rPr>
                    <w:t>：</w:t>
                  </w:r>
                  <w:r>
                    <w:rPr>
                      <w:rFonts w:ascii="仿宋_GB2312" w:hAnsi="仿宋_GB2312" w:cs="仿宋_GB2312" w:eastAsia="仿宋_GB2312"/>
                      <w:sz w:val="21"/>
                    </w:rPr>
                    <w:t>2 * 48core@2.6GHz</w:t>
                  </w:r>
                  <w:r>
                    <w:br/>
                  </w:r>
                  <w:r>
                    <w:rPr>
                      <w:rFonts w:ascii="仿宋_GB2312" w:hAnsi="仿宋_GB2312" w:cs="仿宋_GB2312" w:eastAsia="仿宋_GB2312"/>
                      <w:sz w:val="21"/>
                    </w:rPr>
                    <w:t>内存：</w:t>
                  </w:r>
                  <w:r>
                    <w:rPr>
                      <w:rFonts w:ascii="仿宋_GB2312" w:hAnsi="仿宋_GB2312" w:cs="仿宋_GB2312" w:eastAsia="仿宋_GB2312"/>
                      <w:sz w:val="21"/>
                    </w:rPr>
                    <w:t>32G DDR4*12</w:t>
                  </w:r>
                  <w:r>
                    <w:br/>
                  </w:r>
                  <w:r>
                    <w:rPr>
                      <w:rFonts w:ascii="仿宋_GB2312" w:hAnsi="仿宋_GB2312" w:cs="仿宋_GB2312" w:eastAsia="仿宋_GB2312"/>
                      <w:sz w:val="21"/>
                    </w:rPr>
                    <w:t>系统盘：</w:t>
                  </w:r>
                  <w:r>
                    <w:rPr>
                      <w:rFonts w:ascii="仿宋_GB2312" w:hAnsi="仿宋_GB2312" w:cs="仿宋_GB2312" w:eastAsia="仿宋_GB2312"/>
                      <w:sz w:val="21"/>
                    </w:rPr>
                    <w:t>SATA SSD 2.5</w:t>
                  </w:r>
                  <w:r>
                    <w:rPr>
                      <w:rFonts w:ascii="仿宋_GB2312" w:hAnsi="仿宋_GB2312" w:cs="仿宋_GB2312" w:eastAsia="仿宋_GB2312"/>
                      <w:sz w:val="21"/>
                    </w:rPr>
                    <w:t xml:space="preserve">寸 </w:t>
                  </w:r>
                  <w:r>
                    <w:rPr>
                      <w:rFonts w:ascii="仿宋_GB2312" w:hAnsi="仿宋_GB2312" w:cs="仿宋_GB2312" w:eastAsia="仿宋_GB2312"/>
                      <w:sz w:val="21"/>
                    </w:rPr>
                    <w:t>480G*2 RAID1</w:t>
                  </w:r>
                  <w:r>
                    <w:br/>
                  </w:r>
                  <w:r>
                    <w:rPr>
                      <w:rFonts w:ascii="仿宋_GB2312" w:hAnsi="仿宋_GB2312" w:cs="仿宋_GB2312" w:eastAsia="仿宋_GB2312"/>
                      <w:sz w:val="21"/>
                    </w:rPr>
                    <w:t>数据盘：</w:t>
                  </w:r>
                  <w:r>
                    <w:rPr>
                      <w:rFonts w:ascii="仿宋_GB2312" w:hAnsi="仿宋_GB2312" w:cs="仿宋_GB2312" w:eastAsia="仿宋_GB2312"/>
                      <w:sz w:val="21"/>
                    </w:rPr>
                    <w:t>SATA SSD 2.5</w:t>
                  </w:r>
                  <w:r>
                    <w:rPr>
                      <w:rFonts w:ascii="仿宋_GB2312" w:hAnsi="仿宋_GB2312" w:cs="仿宋_GB2312" w:eastAsia="仿宋_GB2312"/>
                      <w:sz w:val="21"/>
                    </w:rPr>
                    <w:t xml:space="preserve">寸 </w:t>
                  </w:r>
                  <w:r>
                    <w:rPr>
                      <w:rFonts w:ascii="仿宋_GB2312" w:hAnsi="仿宋_GB2312" w:cs="仿宋_GB2312" w:eastAsia="仿宋_GB2312"/>
                      <w:sz w:val="21"/>
                    </w:rPr>
                    <w:t>3.84TB*6 RAID5</w:t>
                  </w:r>
                  <w:r>
                    <w:br/>
                  </w:r>
                  <w:r>
                    <w:rPr>
                      <w:rFonts w:ascii="仿宋_GB2312" w:hAnsi="仿宋_GB2312" w:cs="仿宋_GB2312" w:eastAsia="仿宋_GB2312"/>
                      <w:sz w:val="21"/>
                    </w:rPr>
                    <w:t>RAID</w:t>
                  </w:r>
                  <w:r>
                    <w:rPr>
                      <w:rFonts w:ascii="仿宋_GB2312" w:hAnsi="仿宋_GB2312" w:cs="仿宋_GB2312" w:eastAsia="仿宋_GB2312"/>
                      <w:sz w:val="21"/>
                    </w:rPr>
                    <w:t>卡：支持</w:t>
                  </w:r>
                  <w:r>
                    <w:rPr>
                      <w:rFonts w:ascii="仿宋_GB2312" w:hAnsi="仿宋_GB2312" w:cs="仿宋_GB2312" w:eastAsia="仿宋_GB2312"/>
                      <w:sz w:val="21"/>
                    </w:rPr>
                    <w:t>RAID 0,1,5,6,10,50,60</w:t>
                  </w:r>
                  <w:r>
                    <w:br/>
                  </w:r>
                  <w:r>
                    <w:rPr>
                      <w:rFonts w:ascii="仿宋_GB2312" w:hAnsi="仿宋_GB2312" w:cs="仿宋_GB2312" w:eastAsia="仿宋_GB2312"/>
                      <w:sz w:val="21"/>
                    </w:rPr>
                    <w:t>电源：冗余电源模块</w:t>
                  </w:r>
                  <w:r>
                    <w:rPr>
                      <w:rFonts w:ascii="仿宋_GB2312" w:hAnsi="仿宋_GB2312" w:cs="仿宋_GB2312" w:eastAsia="仿宋_GB2312"/>
                      <w:sz w:val="21"/>
                    </w:rPr>
                    <w:t>*2</w:t>
                  </w:r>
                  <w:r>
                    <w:br/>
                  </w:r>
                  <w:r>
                    <w:rPr>
                      <w:rFonts w:ascii="仿宋_GB2312" w:hAnsi="仿宋_GB2312" w:cs="仿宋_GB2312" w:eastAsia="仿宋_GB2312"/>
                      <w:sz w:val="21"/>
                    </w:rPr>
                    <w:t>网卡：万兆光口</w:t>
                  </w:r>
                  <w:r>
                    <w:rPr>
                      <w:rFonts w:ascii="仿宋_GB2312" w:hAnsi="仿宋_GB2312" w:cs="仿宋_GB2312" w:eastAsia="仿宋_GB2312"/>
                      <w:sz w:val="21"/>
                    </w:rPr>
                    <w:t xml:space="preserve">*2 </w:t>
                  </w:r>
                  <w:r>
                    <w:rPr>
                      <w:rFonts w:ascii="仿宋_GB2312" w:hAnsi="仿宋_GB2312" w:cs="仿宋_GB2312" w:eastAsia="仿宋_GB2312"/>
                      <w:sz w:val="21"/>
                    </w:rPr>
                    <w:t>光模块</w:t>
                  </w:r>
                  <w:r>
                    <w:rPr>
                      <w:rFonts w:ascii="仿宋_GB2312" w:hAnsi="仿宋_GB2312" w:cs="仿宋_GB2312" w:eastAsia="仿宋_GB2312"/>
                      <w:sz w:val="21"/>
                    </w:rPr>
                    <w:t xml:space="preserve">*2 </w:t>
                  </w:r>
                  <w:r>
                    <w:rPr>
                      <w:rFonts w:ascii="仿宋_GB2312" w:hAnsi="仿宋_GB2312" w:cs="仿宋_GB2312" w:eastAsia="仿宋_GB2312"/>
                      <w:sz w:val="21"/>
                    </w:rPr>
                    <w:t>千兆电口</w:t>
                  </w:r>
                  <w:r>
                    <w:rPr>
                      <w:rFonts w:ascii="仿宋_GB2312" w:hAnsi="仿宋_GB2312" w:cs="仿宋_GB2312" w:eastAsia="仿宋_GB2312"/>
                      <w:sz w:val="21"/>
                    </w:rPr>
                    <w:t>*2</w:t>
                  </w:r>
                </w:p>
              </w:tc>
              <w:tc>
                <w:tcPr>
                  <w:tcW w:type="dxa" w:w="2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台</w:t>
                  </w:r>
                </w:p>
              </w:tc>
              <w:tc>
                <w:tcPr>
                  <w:tcW w:type="dxa" w:w="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2</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解析检索服务器</w:t>
                  </w:r>
                </w:p>
              </w:tc>
              <w:tc>
                <w:tcPr>
                  <w:tcW w:type="dxa" w:w="12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配置不低于：</w:t>
                  </w:r>
                </w:p>
                <w:p>
                  <w:pPr>
                    <w:pStyle w:val="null3"/>
                    <w:jc w:val="both"/>
                  </w:pPr>
                  <w:r>
                    <w:rPr>
                      <w:rFonts w:ascii="仿宋_GB2312" w:hAnsi="仿宋_GB2312" w:cs="仿宋_GB2312" w:eastAsia="仿宋_GB2312"/>
                      <w:sz w:val="21"/>
                    </w:rPr>
                    <w:t>CPU</w:t>
                  </w:r>
                  <w:r>
                    <w:rPr>
                      <w:rFonts w:ascii="仿宋_GB2312" w:hAnsi="仿宋_GB2312" w:cs="仿宋_GB2312" w:eastAsia="仿宋_GB2312"/>
                      <w:sz w:val="21"/>
                    </w:rPr>
                    <w:t>：</w:t>
                  </w:r>
                  <w:r>
                    <w:rPr>
                      <w:rFonts w:ascii="仿宋_GB2312" w:hAnsi="仿宋_GB2312" w:cs="仿宋_GB2312" w:eastAsia="仿宋_GB2312"/>
                      <w:sz w:val="21"/>
                    </w:rPr>
                    <w:t>2 * 48core@2.6GHz</w:t>
                  </w:r>
                  <w:r>
                    <w:br/>
                  </w:r>
                  <w:r>
                    <w:rPr>
                      <w:rFonts w:ascii="仿宋_GB2312" w:hAnsi="仿宋_GB2312" w:cs="仿宋_GB2312" w:eastAsia="仿宋_GB2312"/>
                      <w:sz w:val="21"/>
                    </w:rPr>
                    <w:t>内存：</w:t>
                  </w:r>
                  <w:r>
                    <w:rPr>
                      <w:rFonts w:ascii="仿宋_GB2312" w:hAnsi="仿宋_GB2312" w:cs="仿宋_GB2312" w:eastAsia="仿宋_GB2312"/>
                      <w:sz w:val="21"/>
                    </w:rPr>
                    <w:t>32G DDR4*16</w:t>
                  </w:r>
                  <w:r>
                    <w:br/>
                  </w:r>
                  <w:r>
                    <w:rPr>
                      <w:rFonts w:ascii="仿宋_GB2312" w:hAnsi="仿宋_GB2312" w:cs="仿宋_GB2312" w:eastAsia="仿宋_GB2312"/>
                      <w:sz w:val="21"/>
                    </w:rPr>
                    <w:t>系统盘：</w:t>
                  </w:r>
                  <w:r>
                    <w:rPr>
                      <w:rFonts w:ascii="仿宋_GB2312" w:hAnsi="仿宋_GB2312" w:cs="仿宋_GB2312" w:eastAsia="仿宋_GB2312"/>
                      <w:sz w:val="21"/>
                    </w:rPr>
                    <w:t>SATA SSD 2.5</w:t>
                  </w:r>
                  <w:r>
                    <w:rPr>
                      <w:rFonts w:ascii="仿宋_GB2312" w:hAnsi="仿宋_GB2312" w:cs="仿宋_GB2312" w:eastAsia="仿宋_GB2312"/>
                      <w:sz w:val="21"/>
                    </w:rPr>
                    <w:t xml:space="preserve">寸 </w:t>
                  </w:r>
                  <w:r>
                    <w:rPr>
                      <w:rFonts w:ascii="仿宋_GB2312" w:hAnsi="仿宋_GB2312" w:cs="仿宋_GB2312" w:eastAsia="仿宋_GB2312"/>
                      <w:sz w:val="21"/>
                    </w:rPr>
                    <w:t>480G*2 RAID1</w:t>
                  </w:r>
                  <w:r>
                    <w:br/>
                  </w:r>
                  <w:r>
                    <w:rPr>
                      <w:rFonts w:ascii="仿宋_GB2312" w:hAnsi="仿宋_GB2312" w:cs="仿宋_GB2312" w:eastAsia="仿宋_GB2312"/>
                      <w:sz w:val="21"/>
                    </w:rPr>
                    <w:t>数据盘</w:t>
                  </w:r>
                  <w:r>
                    <w:rPr>
                      <w:rFonts w:ascii="仿宋_GB2312" w:hAnsi="仿宋_GB2312" w:cs="仿宋_GB2312" w:eastAsia="仿宋_GB2312"/>
                      <w:sz w:val="21"/>
                    </w:rPr>
                    <w:t>1: NVMe SSD 2.5</w:t>
                  </w:r>
                  <w:r>
                    <w:rPr>
                      <w:rFonts w:ascii="仿宋_GB2312" w:hAnsi="仿宋_GB2312" w:cs="仿宋_GB2312" w:eastAsia="仿宋_GB2312"/>
                      <w:sz w:val="21"/>
                    </w:rPr>
                    <w:t xml:space="preserve">寸 </w:t>
                  </w:r>
                  <w:r>
                    <w:rPr>
                      <w:rFonts w:ascii="仿宋_GB2312" w:hAnsi="仿宋_GB2312" w:cs="仿宋_GB2312" w:eastAsia="仿宋_GB2312"/>
                      <w:sz w:val="21"/>
                    </w:rPr>
                    <w:t>3.84TB*1</w:t>
                  </w:r>
                  <w:r>
                    <w:br/>
                  </w:r>
                  <w:r>
                    <w:rPr>
                      <w:rFonts w:ascii="仿宋_GB2312" w:hAnsi="仿宋_GB2312" w:cs="仿宋_GB2312" w:eastAsia="仿宋_GB2312"/>
                      <w:sz w:val="21"/>
                    </w:rPr>
                    <w:t>数据盘</w:t>
                  </w: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SATA SSD 2.5</w:t>
                  </w:r>
                  <w:r>
                    <w:rPr>
                      <w:rFonts w:ascii="仿宋_GB2312" w:hAnsi="仿宋_GB2312" w:cs="仿宋_GB2312" w:eastAsia="仿宋_GB2312"/>
                      <w:sz w:val="21"/>
                    </w:rPr>
                    <w:t xml:space="preserve">寸 </w:t>
                  </w:r>
                  <w:r>
                    <w:rPr>
                      <w:rFonts w:ascii="仿宋_GB2312" w:hAnsi="仿宋_GB2312" w:cs="仿宋_GB2312" w:eastAsia="仿宋_GB2312"/>
                      <w:sz w:val="21"/>
                    </w:rPr>
                    <w:t>3.84TB*6 RAID5</w:t>
                  </w:r>
                  <w:r>
                    <w:br/>
                  </w:r>
                  <w:r>
                    <w:rPr>
                      <w:rFonts w:ascii="仿宋_GB2312" w:hAnsi="仿宋_GB2312" w:cs="仿宋_GB2312" w:eastAsia="仿宋_GB2312"/>
                      <w:sz w:val="21"/>
                    </w:rPr>
                    <w:t>数据盘</w:t>
                  </w: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SATA HDD 3.5</w:t>
                  </w:r>
                  <w:r>
                    <w:rPr>
                      <w:rFonts w:ascii="仿宋_GB2312" w:hAnsi="仿宋_GB2312" w:cs="仿宋_GB2312" w:eastAsia="仿宋_GB2312"/>
                      <w:sz w:val="21"/>
                    </w:rPr>
                    <w:t xml:space="preserve">寸 </w:t>
                  </w:r>
                  <w:r>
                    <w:rPr>
                      <w:rFonts w:ascii="仿宋_GB2312" w:hAnsi="仿宋_GB2312" w:cs="仿宋_GB2312" w:eastAsia="仿宋_GB2312"/>
                      <w:sz w:val="21"/>
                    </w:rPr>
                    <w:t>16T *4 RAID5</w:t>
                  </w:r>
                  <w:r>
                    <w:br/>
                  </w:r>
                  <w:r>
                    <w:rPr>
                      <w:rFonts w:ascii="仿宋_GB2312" w:hAnsi="仿宋_GB2312" w:cs="仿宋_GB2312" w:eastAsia="仿宋_GB2312"/>
                      <w:sz w:val="21"/>
                    </w:rPr>
                    <w:t>GPU</w:t>
                  </w:r>
                  <w:r>
                    <w:rPr>
                      <w:rFonts w:ascii="仿宋_GB2312" w:hAnsi="仿宋_GB2312" w:cs="仿宋_GB2312" w:eastAsia="仿宋_GB2312"/>
                      <w:sz w:val="21"/>
                    </w:rPr>
                    <w:t xml:space="preserve">：显卡 </w:t>
                  </w:r>
                  <w:r>
                    <w:rPr>
                      <w:rFonts w:ascii="仿宋_GB2312" w:hAnsi="仿宋_GB2312" w:cs="仿宋_GB2312" w:eastAsia="仿宋_GB2312"/>
                      <w:sz w:val="21"/>
                    </w:rPr>
                    <w:t>*4</w:t>
                  </w:r>
                  <w:r>
                    <w:br/>
                  </w:r>
                  <w:r>
                    <w:rPr>
                      <w:rFonts w:ascii="仿宋_GB2312" w:hAnsi="仿宋_GB2312" w:cs="仿宋_GB2312" w:eastAsia="仿宋_GB2312"/>
                      <w:sz w:val="21"/>
                    </w:rPr>
                    <w:t>RAID</w:t>
                  </w:r>
                  <w:r>
                    <w:rPr>
                      <w:rFonts w:ascii="仿宋_GB2312" w:hAnsi="仿宋_GB2312" w:cs="仿宋_GB2312" w:eastAsia="仿宋_GB2312"/>
                      <w:sz w:val="21"/>
                    </w:rPr>
                    <w:t>卡：支持</w:t>
                  </w:r>
                  <w:r>
                    <w:rPr>
                      <w:rFonts w:ascii="仿宋_GB2312" w:hAnsi="仿宋_GB2312" w:cs="仿宋_GB2312" w:eastAsia="仿宋_GB2312"/>
                      <w:sz w:val="21"/>
                    </w:rPr>
                    <w:t>RAID 0,1,5,6,10,50,60</w:t>
                  </w:r>
                  <w:r>
                    <w:br/>
                  </w:r>
                  <w:r>
                    <w:rPr>
                      <w:rFonts w:ascii="仿宋_GB2312" w:hAnsi="仿宋_GB2312" w:cs="仿宋_GB2312" w:eastAsia="仿宋_GB2312"/>
                      <w:sz w:val="21"/>
                    </w:rPr>
                    <w:t>电源：冗余电源模块</w:t>
                  </w:r>
                  <w:r>
                    <w:rPr>
                      <w:rFonts w:ascii="仿宋_GB2312" w:hAnsi="仿宋_GB2312" w:cs="仿宋_GB2312" w:eastAsia="仿宋_GB2312"/>
                      <w:sz w:val="21"/>
                    </w:rPr>
                    <w:t>*2</w:t>
                  </w:r>
                  <w:r>
                    <w:br/>
                  </w:r>
                  <w:r>
                    <w:rPr>
                      <w:rFonts w:ascii="仿宋_GB2312" w:hAnsi="仿宋_GB2312" w:cs="仿宋_GB2312" w:eastAsia="仿宋_GB2312"/>
                      <w:sz w:val="21"/>
                    </w:rPr>
                    <w:t>网卡：万兆光口</w:t>
                  </w:r>
                  <w:r>
                    <w:rPr>
                      <w:rFonts w:ascii="仿宋_GB2312" w:hAnsi="仿宋_GB2312" w:cs="仿宋_GB2312" w:eastAsia="仿宋_GB2312"/>
                      <w:sz w:val="21"/>
                    </w:rPr>
                    <w:t xml:space="preserve">*2 </w:t>
                  </w:r>
                  <w:r>
                    <w:rPr>
                      <w:rFonts w:ascii="仿宋_GB2312" w:hAnsi="仿宋_GB2312" w:cs="仿宋_GB2312" w:eastAsia="仿宋_GB2312"/>
                      <w:sz w:val="21"/>
                    </w:rPr>
                    <w:t>光模块</w:t>
                  </w:r>
                  <w:r>
                    <w:rPr>
                      <w:rFonts w:ascii="仿宋_GB2312" w:hAnsi="仿宋_GB2312" w:cs="仿宋_GB2312" w:eastAsia="仿宋_GB2312"/>
                      <w:sz w:val="21"/>
                    </w:rPr>
                    <w:t xml:space="preserve">*2 </w:t>
                  </w:r>
                  <w:r>
                    <w:rPr>
                      <w:rFonts w:ascii="仿宋_GB2312" w:hAnsi="仿宋_GB2312" w:cs="仿宋_GB2312" w:eastAsia="仿宋_GB2312"/>
                      <w:sz w:val="21"/>
                    </w:rPr>
                    <w:t>千兆电口</w:t>
                  </w:r>
                  <w:r>
                    <w:rPr>
                      <w:rFonts w:ascii="仿宋_GB2312" w:hAnsi="仿宋_GB2312" w:cs="仿宋_GB2312" w:eastAsia="仿宋_GB2312"/>
                      <w:sz w:val="21"/>
                    </w:rPr>
                    <w:t>*2</w:t>
                  </w:r>
                </w:p>
              </w:tc>
              <w:tc>
                <w:tcPr>
                  <w:tcW w:type="dxa" w:w="2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台</w:t>
                  </w:r>
                </w:p>
              </w:tc>
              <w:tc>
                <w:tcPr>
                  <w:tcW w:type="dxa" w:w="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3</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视图库存储服务器</w:t>
                  </w:r>
                </w:p>
              </w:tc>
              <w:tc>
                <w:tcPr>
                  <w:tcW w:type="dxa" w:w="12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配置不低于：</w:t>
                  </w:r>
                </w:p>
                <w:p>
                  <w:pPr>
                    <w:pStyle w:val="null3"/>
                    <w:jc w:val="both"/>
                  </w:pPr>
                  <w:r>
                    <w:rPr>
                      <w:rFonts w:ascii="仿宋_GB2312" w:hAnsi="仿宋_GB2312" w:cs="仿宋_GB2312" w:eastAsia="仿宋_GB2312"/>
                      <w:sz w:val="21"/>
                    </w:rPr>
                    <w:t>CPU</w:t>
                  </w:r>
                  <w:r>
                    <w:rPr>
                      <w:rFonts w:ascii="仿宋_GB2312" w:hAnsi="仿宋_GB2312" w:cs="仿宋_GB2312" w:eastAsia="仿宋_GB2312"/>
                      <w:sz w:val="21"/>
                    </w:rPr>
                    <w:t>：</w:t>
                  </w:r>
                  <w:r>
                    <w:rPr>
                      <w:rFonts w:ascii="仿宋_GB2312" w:hAnsi="仿宋_GB2312" w:cs="仿宋_GB2312" w:eastAsia="仿宋_GB2312"/>
                      <w:sz w:val="21"/>
                    </w:rPr>
                    <w:t>2 * 32core@2.6GHz</w:t>
                  </w:r>
                  <w:r>
                    <w:br/>
                  </w:r>
                  <w:r>
                    <w:rPr>
                      <w:rFonts w:ascii="仿宋_GB2312" w:hAnsi="仿宋_GB2312" w:cs="仿宋_GB2312" w:eastAsia="仿宋_GB2312"/>
                      <w:sz w:val="21"/>
                    </w:rPr>
                    <w:t>内存：</w:t>
                  </w:r>
                  <w:r>
                    <w:rPr>
                      <w:rFonts w:ascii="仿宋_GB2312" w:hAnsi="仿宋_GB2312" w:cs="仿宋_GB2312" w:eastAsia="仿宋_GB2312"/>
                      <w:sz w:val="21"/>
                    </w:rPr>
                    <w:t>32G DDR4*8</w:t>
                  </w:r>
                  <w:r>
                    <w:br/>
                  </w:r>
                  <w:r>
                    <w:rPr>
                      <w:rFonts w:ascii="仿宋_GB2312" w:hAnsi="仿宋_GB2312" w:cs="仿宋_GB2312" w:eastAsia="仿宋_GB2312"/>
                      <w:sz w:val="21"/>
                    </w:rPr>
                    <w:t>系统盘：</w:t>
                  </w:r>
                  <w:r>
                    <w:rPr>
                      <w:rFonts w:ascii="仿宋_GB2312" w:hAnsi="仿宋_GB2312" w:cs="仿宋_GB2312" w:eastAsia="仿宋_GB2312"/>
                      <w:sz w:val="21"/>
                    </w:rPr>
                    <w:t>SATA SSD 2.5</w:t>
                  </w:r>
                  <w:r>
                    <w:rPr>
                      <w:rFonts w:ascii="仿宋_GB2312" w:hAnsi="仿宋_GB2312" w:cs="仿宋_GB2312" w:eastAsia="仿宋_GB2312"/>
                      <w:sz w:val="21"/>
                    </w:rPr>
                    <w:t xml:space="preserve">寸 </w:t>
                  </w:r>
                  <w:r>
                    <w:rPr>
                      <w:rFonts w:ascii="仿宋_GB2312" w:hAnsi="仿宋_GB2312" w:cs="仿宋_GB2312" w:eastAsia="仿宋_GB2312"/>
                      <w:sz w:val="21"/>
                    </w:rPr>
                    <w:t>480G*2 RAID1</w:t>
                  </w:r>
                  <w:r>
                    <w:br/>
                  </w:r>
                  <w:r>
                    <w:rPr>
                      <w:rFonts w:ascii="仿宋_GB2312" w:hAnsi="仿宋_GB2312" w:cs="仿宋_GB2312" w:eastAsia="仿宋_GB2312"/>
                      <w:sz w:val="21"/>
                    </w:rPr>
                    <w:t>数据盘</w:t>
                  </w:r>
                  <w:r>
                    <w:rPr>
                      <w:rFonts w:ascii="仿宋_GB2312" w:hAnsi="仿宋_GB2312" w:cs="仿宋_GB2312" w:eastAsia="仿宋_GB2312"/>
                      <w:sz w:val="21"/>
                    </w:rPr>
                    <w:t>1: SATA SSD 2.5</w:t>
                  </w:r>
                  <w:r>
                    <w:rPr>
                      <w:rFonts w:ascii="仿宋_GB2312" w:hAnsi="仿宋_GB2312" w:cs="仿宋_GB2312" w:eastAsia="仿宋_GB2312"/>
                      <w:sz w:val="21"/>
                    </w:rPr>
                    <w:t xml:space="preserve">寸 </w:t>
                  </w:r>
                  <w:r>
                    <w:rPr>
                      <w:rFonts w:ascii="仿宋_GB2312" w:hAnsi="仿宋_GB2312" w:cs="仿宋_GB2312" w:eastAsia="仿宋_GB2312"/>
                      <w:sz w:val="21"/>
                    </w:rPr>
                    <w:t>1.92TB*2 RAID1</w:t>
                  </w:r>
                  <w:r>
                    <w:br/>
                  </w:r>
                  <w:r>
                    <w:rPr>
                      <w:rFonts w:ascii="仿宋_GB2312" w:hAnsi="仿宋_GB2312" w:cs="仿宋_GB2312" w:eastAsia="仿宋_GB2312"/>
                      <w:sz w:val="21"/>
                    </w:rPr>
                    <w:t>数据盘</w:t>
                  </w:r>
                  <w:r>
                    <w:rPr>
                      <w:rFonts w:ascii="仿宋_GB2312" w:hAnsi="仿宋_GB2312" w:cs="仿宋_GB2312" w:eastAsia="仿宋_GB2312"/>
                      <w:sz w:val="21"/>
                    </w:rPr>
                    <w:t>2: SATA HDD 3.5</w:t>
                  </w:r>
                  <w:r>
                    <w:rPr>
                      <w:rFonts w:ascii="仿宋_GB2312" w:hAnsi="仿宋_GB2312" w:cs="仿宋_GB2312" w:eastAsia="仿宋_GB2312"/>
                      <w:sz w:val="21"/>
                    </w:rPr>
                    <w:t xml:space="preserve">寸 </w:t>
                  </w:r>
                  <w:r>
                    <w:rPr>
                      <w:rFonts w:ascii="仿宋_GB2312" w:hAnsi="仿宋_GB2312" w:cs="仿宋_GB2312" w:eastAsia="仿宋_GB2312"/>
                      <w:sz w:val="21"/>
                    </w:rPr>
                    <w:t xml:space="preserve">14T *36 </w:t>
                  </w:r>
                  <w:r>
                    <w:rPr>
                      <w:rFonts w:ascii="仿宋_GB2312" w:hAnsi="仿宋_GB2312" w:cs="仿宋_GB2312" w:eastAsia="仿宋_GB2312"/>
                      <w:sz w:val="21"/>
                    </w:rPr>
                    <w:t>做</w:t>
                  </w:r>
                  <w:r>
                    <w:rPr>
                      <w:rFonts w:ascii="仿宋_GB2312" w:hAnsi="仿宋_GB2312" w:cs="仿宋_GB2312" w:eastAsia="仿宋_GB2312"/>
                      <w:sz w:val="21"/>
                    </w:rPr>
                    <w:t>RAID5</w:t>
                  </w:r>
                  <w:r>
                    <w:br/>
                  </w:r>
                  <w:r>
                    <w:rPr>
                      <w:rFonts w:ascii="仿宋_GB2312" w:hAnsi="仿宋_GB2312" w:cs="仿宋_GB2312" w:eastAsia="仿宋_GB2312"/>
                      <w:sz w:val="21"/>
                    </w:rPr>
                    <w:t>RAID</w:t>
                  </w:r>
                  <w:r>
                    <w:rPr>
                      <w:rFonts w:ascii="仿宋_GB2312" w:hAnsi="仿宋_GB2312" w:cs="仿宋_GB2312" w:eastAsia="仿宋_GB2312"/>
                      <w:sz w:val="21"/>
                    </w:rPr>
                    <w:t>卡：支持</w:t>
                  </w:r>
                  <w:r>
                    <w:rPr>
                      <w:rFonts w:ascii="仿宋_GB2312" w:hAnsi="仿宋_GB2312" w:cs="仿宋_GB2312" w:eastAsia="仿宋_GB2312"/>
                      <w:sz w:val="21"/>
                    </w:rPr>
                    <w:t>RAID 0,1,5,6,10,50,60,JBOD</w:t>
                  </w:r>
                  <w:r>
                    <w:br/>
                  </w:r>
                  <w:r>
                    <w:rPr>
                      <w:rFonts w:ascii="仿宋_GB2312" w:hAnsi="仿宋_GB2312" w:cs="仿宋_GB2312" w:eastAsia="仿宋_GB2312"/>
                      <w:sz w:val="21"/>
                    </w:rPr>
                    <w:t>电源：</w:t>
                  </w:r>
                  <w:r>
                    <w:rPr>
                      <w:rFonts w:ascii="仿宋_GB2312" w:hAnsi="仿宋_GB2312" w:cs="仿宋_GB2312" w:eastAsia="仿宋_GB2312"/>
                      <w:sz w:val="21"/>
                    </w:rPr>
                    <w:t>2000W</w:t>
                  </w:r>
                  <w:r>
                    <w:rPr>
                      <w:rFonts w:ascii="仿宋_GB2312" w:hAnsi="仿宋_GB2312" w:cs="仿宋_GB2312" w:eastAsia="仿宋_GB2312"/>
                      <w:sz w:val="21"/>
                    </w:rPr>
                    <w:t>冗余电源模块</w:t>
                  </w:r>
                  <w:r>
                    <w:rPr>
                      <w:rFonts w:ascii="仿宋_GB2312" w:hAnsi="仿宋_GB2312" w:cs="仿宋_GB2312" w:eastAsia="仿宋_GB2312"/>
                      <w:sz w:val="21"/>
                    </w:rPr>
                    <w:t>*2</w:t>
                  </w:r>
                  <w:r>
                    <w:br/>
                  </w:r>
                  <w:r>
                    <w:rPr>
                      <w:rFonts w:ascii="仿宋_GB2312" w:hAnsi="仿宋_GB2312" w:cs="仿宋_GB2312" w:eastAsia="仿宋_GB2312"/>
                      <w:sz w:val="21"/>
                    </w:rPr>
                    <w:t>网卡：万兆光口</w:t>
                  </w:r>
                  <w:r>
                    <w:rPr>
                      <w:rFonts w:ascii="仿宋_GB2312" w:hAnsi="仿宋_GB2312" w:cs="仿宋_GB2312" w:eastAsia="仿宋_GB2312"/>
                      <w:sz w:val="21"/>
                    </w:rPr>
                    <w:t xml:space="preserve">*2 </w:t>
                  </w:r>
                  <w:r>
                    <w:rPr>
                      <w:rFonts w:ascii="仿宋_GB2312" w:hAnsi="仿宋_GB2312" w:cs="仿宋_GB2312" w:eastAsia="仿宋_GB2312"/>
                      <w:sz w:val="21"/>
                    </w:rPr>
                    <w:t>光模块</w:t>
                  </w:r>
                  <w:r>
                    <w:rPr>
                      <w:rFonts w:ascii="仿宋_GB2312" w:hAnsi="仿宋_GB2312" w:cs="仿宋_GB2312" w:eastAsia="仿宋_GB2312"/>
                      <w:sz w:val="21"/>
                    </w:rPr>
                    <w:t xml:space="preserve">*2 </w:t>
                  </w:r>
                  <w:r>
                    <w:rPr>
                      <w:rFonts w:ascii="仿宋_GB2312" w:hAnsi="仿宋_GB2312" w:cs="仿宋_GB2312" w:eastAsia="仿宋_GB2312"/>
                      <w:sz w:val="21"/>
                    </w:rPr>
                    <w:t>千兆电口</w:t>
                  </w:r>
                  <w:r>
                    <w:rPr>
                      <w:rFonts w:ascii="仿宋_GB2312" w:hAnsi="仿宋_GB2312" w:cs="仿宋_GB2312" w:eastAsia="仿宋_GB2312"/>
                      <w:sz w:val="21"/>
                    </w:rPr>
                    <w:t>*2</w:t>
                  </w:r>
                </w:p>
              </w:tc>
              <w:tc>
                <w:tcPr>
                  <w:tcW w:type="dxa" w:w="2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台</w:t>
                  </w:r>
                </w:p>
              </w:tc>
              <w:tc>
                <w:tcPr>
                  <w:tcW w:type="dxa" w:w="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4</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智能分析盒</w:t>
                  </w:r>
                </w:p>
              </w:tc>
              <w:tc>
                <w:tcPr>
                  <w:tcW w:type="dxa" w:w="12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视频接入协议：</w:t>
                  </w:r>
                  <w:r>
                    <w:rPr>
                      <w:rFonts w:ascii="仿宋_GB2312" w:hAnsi="仿宋_GB2312" w:cs="仿宋_GB2312" w:eastAsia="仿宋_GB2312"/>
                      <w:sz w:val="21"/>
                    </w:rPr>
                    <w:t>rtsp</w:t>
                  </w:r>
                  <w:r>
                    <w:rPr>
                      <w:rFonts w:ascii="仿宋_GB2312" w:hAnsi="仿宋_GB2312" w:cs="仿宋_GB2312" w:eastAsia="仿宋_GB2312"/>
                      <w:sz w:val="21"/>
                    </w:rPr>
                    <w:t>协议</w:t>
                  </w:r>
                  <w:r>
                    <w:rPr>
                      <w:rFonts w:ascii="仿宋_GB2312" w:hAnsi="仿宋_GB2312" w:cs="仿宋_GB2312" w:eastAsia="仿宋_GB2312"/>
                      <w:sz w:val="21"/>
                    </w:rPr>
                    <w:t>,onvif</w:t>
                  </w:r>
                  <w:r>
                    <w:rPr>
                      <w:rFonts w:ascii="仿宋_GB2312" w:hAnsi="仿宋_GB2312" w:cs="仿宋_GB2312" w:eastAsia="仿宋_GB2312"/>
                      <w:sz w:val="21"/>
                    </w:rPr>
                    <w:t>协议</w:t>
                  </w:r>
                  <w:r>
                    <w:rPr>
                      <w:rFonts w:ascii="仿宋_GB2312" w:hAnsi="仿宋_GB2312" w:cs="仿宋_GB2312" w:eastAsia="仿宋_GB2312"/>
                      <w:sz w:val="21"/>
                    </w:rPr>
                    <w:t>,</w:t>
                  </w:r>
                  <w:r>
                    <w:rPr>
                      <w:rFonts w:ascii="仿宋_GB2312" w:hAnsi="仿宋_GB2312" w:cs="仿宋_GB2312" w:eastAsia="仿宋_GB2312"/>
                      <w:sz w:val="21"/>
                    </w:rPr>
                    <w:t>国标协议</w:t>
                  </w:r>
                  <w:r>
                    <w:br/>
                  </w:r>
                  <w:r>
                    <w:rPr>
                      <w:rFonts w:ascii="仿宋_GB2312" w:hAnsi="仿宋_GB2312" w:cs="仿宋_GB2312" w:eastAsia="仿宋_GB2312"/>
                      <w:sz w:val="21"/>
                    </w:rPr>
                    <w:t>支持</w:t>
                  </w:r>
                  <w:r>
                    <w:rPr>
                      <w:rFonts w:ascii="仿宋_GB2312" w:hAnsi="仿宋_GB2312" w:cs="仿宋_GB2312" w:eastAsia="仿宋_GB2312"/>
                      <w:sz w:val="21"/>
                    </w:rPr>
                    <w:t>GA/T 1400</w:t>
                  </w:r>
                  <w:r>
                    <w:rPr>
                      <w:rFonts w:ascii="仿宋_GB2312" w:hAnsi="仿宋_GB2312" w:cs="仿宋_GB2312" w:eastAsia="仿宋_GB2312"/>
                      <w:sz w:val="21"/>
                    </w:rPr>
                    <w:t>协议</w:t>
                  </w:r>
                  <w:r>
                    <w:br/>
                  </w:r>
                  <w:r>
                    <w:rPr>
                      <w:rFonts w:ascii="仿宋_GB2312" w:hAnsi="仿宋_GB2312" w:cs="仿宋_GB2312" w:eastAsia="仿宋_GB2312"/>
                      <w:sz w:val="21"/>
                    </w:rPr>
                    <w:t>并发分析性能：支持</w:t>
                  </w:r>
                  <w:r>
                    <w:rPr>
                      <w:rFonts w:ascii="仿宋_GB2312" w:hAnsi="仿宋_GB2312" w:cs="仿宋_GB2312" w:eastAsia="仿宋_GB2312"/>
                      <w:sz w:val="21"/>
                    </w:rPr>
                    <w:t>16</w:t>
                  </w:r>
                  <w:r>
                    <w:rPr>
                      <w:rFonts w:ascii="仿宋_GB2312" w:hAnsi="仿宋_GB2312" w:cs="仿宋_GB2312" w:eastAsia="仿宋_GB2312"/>
                      <w:sz w:val="21"/>
                    </w:rPr>
                    <w:t>路</w:t>
                  </w:r>
                  <w:r>
                    <w:rPr>
                      <w:rFonts w:ascii="仿宋_GB2312" w:hAnsi="仿宋_GB2312" w:cs="仿宋_GB2312" w:eastAsia="仿宋_GB2312"/>
                      <w:sz w:val="21"/>
                    </w:rPr>
                    <w:t>200-400W</w:t>
                  </w:r>
                  <w:r>
                    <w:rPr>
                      <w:rFonts w:ascii="仿宋_GB2312" w:hAnsi="仿宋_GB2312" w:cs="仿宋_GB2312" w:eastAsia="仿宋_GB2312"/>
                      <w:sz w:val="21"/>
                    </w:rPr>
                    <w:t>视频流实时分析。</w:t>
                  </w:r>
                  <w:r>
                    <w:br/>
                  </w:r>
                  <w:r>
                    <w:rPr>
                      <w:rFonts w:ascii="仿宋_GB2312" w:hAnsi="仿宋_GB2312" w:cs="仿宋_GB2312" w:eastAsia="仿宋_GB2312"/>
                      <w:sz w:val="21"/>
                    </w:rPr>
                    <w:t>智能功能：人像抓拍</w:t>
                  </w:r>
                  <w:r>
                    <w:rPr>
                      <w:rFonts w:ascii="仿宋_GB2312" w:hAnsi="仿宋_GB2312" w:cs="仿宋_GB2312" w:eastAsia="仿宋_GB2312"/>
                      <w:sz w:val="21"/>
                    </w:rPr>
                    <w:t>/</w:t>
                  </w:r>
                  <w:r>
                    <w:rPr>
                      <w:rFonts w:ascii="仿宋_GB2312" w:hAnsi="仿宋_GB2312" w:cs="仿宋_GB2312" w:eastAsia="仿宋_GB2312"/>
                      <w:sz w:val="21"/>
                    </w:rPr>
                    <w:t>识别、区域入侵、人员数量超限、区域人数统计、绊线人数统计、预置标记检测、进入区域、离开区域、越界检测；明火检测、烟雾检测、逃生通道阻塞、物品遗失、逗留检测、打架检测、人员聚集、快速移动检测、手持刀棍检测；大模型功能：支持部分算法本地自优化：区域入侵、越界检测、离岗检测、攀高检测、逗留检测</w:t>
                  </w:r>
                  <w:r>
                    <w:br/>
                  </w:r>
                  <w:r>
                    <w:rPr>
                      <w:rFonts w:ascii="仿宋_GB2312" w:hAnsi="仿宋_GB2312" w:cs="仿宋_GB2312" w:eastAsia="仿宋_GB2312"/>
                      <w:sz w:val="21"/>
                    </w:rPr>
                    <w:t>报警图片存储性能：支持</w:t>
                  </w:r>
                  <w:r>
                    <w:rPr>
                      <w:rFonts w:ascii="仿宋_GB2312" w:hAnsi="仿宋_GB2312" w:cs="仿宋_GB2312" w:eastAsia="仿宋_GB2312"/>
                      <w:sz w:val="21"/>
                    </w:rPr>
                    <w:t>15w</w:t>
                  </w:r>
                  <w:r>
                    <w:rPr>
                      <w:rFonts w:ascii="仿宋_GB2312" w:hAnsi="仿宋_GB2312" w:cs="仿宋_GB2312" w:eastAsia="仿宋_GB2312"/>
                      <w:sz w:val="21"/>
                    </w:rPr>
                    <w:t>张告警图片；报警视频存储性能：支持</w:t>
                  </w:r>
                  <w:r>
                    <w:rPr>
                      <w:rFonts w:ascii="仿宋_GB2312" w:hAnsi="仿宋_GB2312" w:cs="仿宋_GB2312" w:eastAsia="仿宋_GB2312"/>
                      <w:sz w:val="21"/>
                    </w:rPr>
                    <w:t>15w</w:t>
                  </w:r>
                  <w:r>
                    <w:rPr>
                      <w:rFonts w:ascii="仿宋_GB2312" w:hAnsi="仿宋_GB2312" w:cs="仿宋_GB2312" w:eastAsia="仿宋_GB2312"/>
                      <w:sz w:val="21"/>
                    </w:rPr>
                    <w:t>条告警短视频</w:t>
                  </w:r>
                </w:p>
                <w:p>
                  <w:pPr>
                    <w:pStyle w:val="null3"/>
                    <w:jc w:val="both"/>
                  </w:pPr>
                  <w:r>
                    <w:rPr>
                      <w:rFonts w:ascii="仿宋_GB2312" w:hAnsi="仿宋_GB2312" w:cs="仿宋_GB2312" w:eastAsia="仿宋_GB2312"/>
                      <w:sz w:val="21"/>
                    </w:rPr>
                    <w:t>配置不低于：</w:t>
                  </w:r>
                  <w:r>
                    <w:br/>
                  </w:r>
                  <w:r>
                    <w:rPr>
                      <w:rFonts w:ascii="仿宋_GB2312" w:hAnsi="仿宋_GB2312" w:cs="仿宋_GB2312" w:eastAsia="仿宋_GB2312"/>
                      <w:sz w:val="21"/>
                    </w:rPr>
                    <w:t>内存容量：</w:t>
                  </w:r>
                  <w:r>
                    <w:rPr>
                      <w:rFonts w:ascii="仿宋_GB2312" w:hAnsi="仿宋_GB2312" w:cs="仿宋_GB2312" w:eastAsia="仿宋_GB2312"/>
                      <w:sz w:val="21"/>
                    </w:rPr>
                    <w:t>8GB DDR4</w:t>
                  </w:r>
                  <w:r>
                    <w:rPr>
                      <w:rFonts w:ascii="仿宋_GB2312" w:hAnsi="仿宋_GB2312" w:cs="仿宋_GB2312" w:eastAsia="仿宋_GB2312"/>
                      <w:sz w:val="21"/>
                    </w:rPr>
                    <w:t>；</w:t>
                  </w:r>
                  <w:r>
                    <w:rPr>
                      <w:rFonts w:ascii="仿宋_GB2312" w:hAnsi="仿宋_GB2312" w:cs="仿宋_GB2312" w:eastAsia="仿宋_GB2312"/>
                      <w:sz w:val="21"/>
                    </w:rPr>
                    <w:t>EMMC</w:t>
                  </w:r>
                  <w:r>
                    <w:rPr>
                      <w:rFonts w:ascii="仿宋_GB2312" w:hAnsi="仿宋_GB2312" w:cs="仿宋_GB2312" w:eastAsia="仿宋_GB2312"/>
                      <w:sz w:val="21"/>
                    </w:rPr>
                    <w:t>容量：</w:t>
                  </w:r>
                  <w:r>
                    <w:rPr>
                      <w:rFonts w:ascii="仿宋_GB2312" w:hAnsi="仿宋_GB2312" w:cs="仿宋_GB2312" w:eastAsia="仿宋_GB2312"/>
                      <w:sz w:val="21"/>
                    </w:rPr>
                    <w:t>32GB</w:t>
                  </w:r>
                  <w:r>
                    <w:br/>
                  </w:r>
                  <w:r>
                    <w:rPr>
                      <w:rFonts w:ascii="仿宋_GB2312" w:hAnsi="仿宋_GB2312" w:cs="仿宋_GB2312" w:eastAsia="仿宋_GB2312"/>
                      <w:sz w:val="21"/>
                    </w:rPr>
                    <w:t>支持硬件接口：网口：</w:t>
                  </w:r>
                  <w:r>
                    <w:rPr>
                      <w:rFonts w:ascii="仿宋_GB2312" w:hAnsi="仿宋_GB2312" w:cs="仿宋_GB2312" w:eastAsia="仿宋_GB2312"/>
                      <w:sz w:val="21"/>
                    </w:rPr>
                    <w:t>2*GE</w:t>
                  </w:r>
                  <w:r>
                    <w:rPr>
                      <w:rFonts w:ascii="仿宋_GB2312" w:hAnsi="仿宋_GB2312" w:cs="仿宋_GB2312" w:eastAsia="仿宋_GB2312"/>
                      <w:sz w:val="21"/>
                    </w:rPr>
                    <w:t>，</w:t>
                  </w:r>
                  <w:r>
                    <w:rPr>
                      <w:rFonts w:ascii="仿宋_GB2312" w:hAnsi="仿宋_GB2312" w:cs="仿宋_GB2312" w:eastAsia="仿宋_GB2312"/>
                      <w:sz w:val="21"/>
                    </w:rPr>
                    <w:t>RJ45</w:t>
                  </w:r>
                  <w:r>
                    <w:rPr>
                      <w:rFonts w:ascii="仿宋_GB2312" w:hAnsi="仿宋_GB2312" w:cs="仿宋_GB2312" w:eastAsia="仿宋_GB2312"/>
                      <w:sz w:val="21"/>
                    </w:rPr>
                    <w:t>接口；</w:t>
                  </w:r>
                  <w:r>
                    <w:rPr>
                      <w:rFonts w:ascii="仿宋_GB2312" w:hAnsi="仿宋_GB2312" w:cs="仿宋_GB2312" w:eastAsia="仿宋_GB2312"/>
                      <w:sz w:val="21"/>
                    </w:rPr>
                    <w:t>USB</w:t>
                  </w:r>
                  <w:r>
                    <w:rPr>
                      <w:rFonts w:ascii="仿宋_GB2312" w:hAnsi="仿宋_GB2312" w:cs="仿宋_GB2312" w:eastAsia="仿宋_GB2312"/>
                      <w:sz w:val="21"/>
                    </w:rPr>
                    <w:t>：</w:t>
                  </w:r>
                  <w:r>
                    <w:rPr>
                      <w:rFonts w:ascii="仿宋_GB2312" w:hAnsi="仿宋_GB2312" w:cs="仿宋_GB2312" w:eastAsia="仿宋_GB2312"/>
                      <w:sz w:val="21"/>
                    </w:rPr>
                    <w:t>2*USB2.0+1*USB3.0</w:t>
                  </w:r>
                  <w:r>
                    <w:rPr>
                      <w:rFonts w:ascii="仿宋_GB2312" w:hAnsi="仿宋_GB2312" w:cs="仿宋_GB2312" w:eastAsia="仿宋_GB2312"/>
                      <w:sz w:val="21"/>
                    </w:rPr>
                    <w:t>；告警输入：</w:t>
                  </w:r>
                  <w:r>
                    <w:rPr>
                      <w:rFonts w:ascii="仿宋_GB2312" w:hAnsi="仿宋_GB2312" w:cs="仿宋_GB2312" w:eastAsia="仿宋_GB2312"/>
                      <w:sz w:val="21"/>
                    </w:rPr>
                    <w:t>4</w:t>
                  </w:r>
                  <w:r>
                    <w:rPr>
                      <w:rFonts w:ascii="仿宋_GB2312" w:hAnsi="仿宋_GB2312" w:cs="仿宋_GB2312" w:eastAsia="仿宋_GB2312"/>
                      <w:sz w:val="21"/>
                    </w:rPr>
                    <w:t>路（凤凰端子）；告警输出：</w:t>
                  </w:r>
                  <w:r>
                    <w:rPr>
                      <w:rFonts w:ascii="仿宋_GB2312" w:hAnsi="仿宋_GB2312" w:cs="仿宋_GB2312" w:eastAsia="仿宋_GB2312"/>
                      <w:sz w:val="21"/>
                    </w:rPr>
                    <w:t>4</w:t>
                  </w:r>
                  <w:r>
                    <w:rPr>
                      <w:rFonts w:ascii="仿宋_GB2312" w:hAnsi="仿宋_GB2312" w:cs="仿宋_GB2312" w:eastAsia="仿宋_GB2312"/>
                      <w:sz w:val="21"/>
                    </w:rPr>
                    <w:t>路（凤凰端子）；</w:t>
                  </w:r>
                  <w:r>
                    <w:rPr>
                      <w:rFonts w:ascii="仿宋_GB2312" w:hAnsi="仿宋_GB2312" w:cs="仿宋_GB2312" w:eastAsia="仿宋_GB2312"/>
                      <w:sz w:val="21"/>
                    </w:rPr>
                    <w:t>RS-485</w:t>
                  </w: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路（凤凰端子）；</w:t>
                  </w:r>
                  <w:r>
                    <w:rPr>
                      <w:rFonts w:ascii="仿宋_GB2312" w:hAnsi="仿宋_GB2312" w:cs="仿宋_GB2312" w:eastAsia="仿宋_GB2312"/>
                      <w:sz w:val="21"/>
                    </w:rPr>
                    <w:t>RS-232</w:t>
                  </w: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路；</w:t>
                  </w:r>
                  <w:r>
                    <w:rPr>
                      <w:rFonts w:ascii="仿宋_GB2312" w:hAnsi="仿宋_GB2312" w:cs="仿宋_GB2312" w:eastAsia="仿宋_GB2312"/>
                      <w:sz w:val="21"/>
                    </w:rPr>
                    <w:t>HDMI</w:t>
                  </w:r>
                  <w:r>
                    <w:rPr>
                      <w:rFonts w:ascii="仿宋_GB2312" w:hAnsi="仿宋_GB2312" w:cs="仿宋_GB2312" w:eastAsia="仿宋_GB2312"/>
                      <w:sz w:val="21"/>
                    </w:rPr>
                    <w:t>输出接口：</w:t>
                  </w:r>
                  <w:r>
                    <w:rPr>
                      <w:rFonts w:ascii="仿宋_GB2312" w:hAnsi="仿宋_GB2312" w:cs="仿宋_GB2312" w:eastAsia="仿宋_GB2312"/>
                      <w:sz w:val="21"/>
                    </w:rPr>
                    <w:t>2</w:t>
                  </w:r>
                  <w:r>
                    <w:rPr>
                      <w:rFonts w:ascii="仿宋_GB2312" w:hAnsi="仿宋_GB2312" w:cs="仿宋_GB2312" w:eastAsia="仿宋_GB2312"/>
                      <w:sz w:val="21"/>
                    </w:rPr>
                    <w:t>路（预留）；音频输入接口：</w:t>
                  </w:r>
                  <w:r>
                    <w:rPr>
                      <w:rFonts w:ascii="仿宋_GB2312" w:hAnsi="仿宋_GB2312" w:cs="仿宋_GB2312" w:eastAsia="仿宋_GB2312"/>
                      <w:sz w:val="21"/>
                    </w:rPr>
                    <w:t>1</w:t>
                  </w:r>
                  <w:r>
                    <w:rPr>
                      <w:rFonts w:ascii="仿宋_GB2312" w:hAnsi="仿宋_GB2312" w:cs="仿宋_GB2312" w:eastAsia="仿宋_GB2312"/>
                      <w:sz w:val="21"/>
                    </w:rPr>
                    <w:t>路；音输出接口：</w:t>
                  </w:r>
                  <w:r>
                    <w:rPr>
                      <w:rFonts w:ascii="仿宋_GB2312" w:hAnsi="仿宋_GB2312" w:cs="仿宋_GB2312" w:eastAsia="仿宋_GB2312"/>
                      <w:sz w:val="21"/>
                    </w:rPr>
                    <w:t>1</w:t>
                  </w:r>
                  <w:r>
                    <w:rPr>
                      <w:rFonts w:ascii="仿宋_GB2312" w:hAnsi="仿宋_GB2312" w:cs="仿宋_GB2312" w:eastAsia="仿宋_GB2312"/>
                      <w:sz w:val="21"/>
                    </w:rPr>
                    <w:t xml:space="preserve">路 </w:t>
                  </w:r>
                  <w:r>
                    <w:br/>
                  </w:r>
                  <w:r>
                    <w:rPr>
                      <w:rFonts w:ascii="仿宋_GB2312" w:hAnsi="仿宋_GB2312" w:cs="仿宋_GB2312" w:eastAsia="仿宋_GB2312"/>
                      <w:sz w:val="21"/>
                    </w:rPr>
                    <w:t>工作温度：</w:t>
                  </w:r>
                  <w:r>
                    <w:rPr>
                      <w:rFonts w:ascii="仿宋_GB2312" w:hAnsi="仿宋_GB2312" w:cs="仿宋_GB2312" w:eastAsia="仿宋_GB2312"/>
                      <w:sz w:val="21"/>
                    </w:rPr>
                    <w:t>-40~70</w:t>
                  </w:r>
                  <w:r>
                    <w:rPr>
                      <w:rFonts w:ascii="仿宋_GB2312" w:hAnsi="仿宋_GB2312" w:cs="仿宋_GB2312" w:eastAsia="仿宋_GB2312"/>
                      <w:sz w:val="21"/>
                    </w:rPr>
                    <w:t>℃；功耗：≤</w:t>
                  </w:r>
                  <w:r>
                    <w:rPr>
                      <w:rFonts w:ascii="仿宋_GB2312" w:hAnsi="仿宋_GB2312" w:cs="仿宋_GB2312" w:eastAsia="仿宋_GB2312"/>
                      <w:sz w:val="21"/>
                    </w:rPr>
                    <w:t>20W</w:t>
                  </w:r>
                </w:p>
              </w:tc>
              <w:tc>
                <w:tcPr>
                  <w:tcW w:type="dxa" w:w="2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30</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台</w:t>
                  </w:r>
                </w:p>
              </w:tc>
              <w:tc>
                <w:tcPr>
                  <w:tcW w:type="dxa" w:w="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5</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公共安全视频图像智慧应用平台</w:t>
                  </w:r>
                </w:p>
              </w:tc>
              <w:tc>
                <w:tcPr>
                  <w:tcW w:type="dxa" w:w="12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依托解析数据和底库数据，完成布控预警、预警查询、预警统计、客流统计、手持刀棍检测等功能。</w:t>
                  </w:r>
                  <w:r>
                    <w:br/>
                  </w:r>
                  <w:r>
                    <w:rPr>
                      <w:rFonts w:ascii="仿宋_GB2312" w:hAnsi="仿宋_GB2312" w:cs="仿宋_GB2312" w:eastAsia="仿宋_GB2312"/>
                      <w:sz w:val="21"/>
                    </w:rPr>
                    <w:t>自带</w:t>
                  </w:r>
                  <w:r>
                    <w:rPr>
                      <w:rFonts w:ascii="仿宋_GB2312" w:hAnsi="仿宋_GB2312" w:cs="仿宋_GB2312" w:eastAsia="仿宋_GB2312"/>
                      <w:sz w:val="21"/>
                    </w:rPr>
                    <w:t>3000</w:t>
                  </w:r>
                  <w:r>
                    <w:rPr>
                      <w:rFonts w:ascii="仿宋_GB2312" w:hAnsi="仿宋_GB2312" w:cs="仿宋_GB2312" w:eastAsia="仿宋_GB2312"/>
                      <w:sz w:val="21"/>
                    </w:rPr>
                    <w:t>路视频流抓取、解析、检索授权。</w:t>
                  </w:r>
                </w:p>
                <w:p>
                  <w:pPr>
                    <w:pStyle w:val="null3"/>
                    <w:jc w:val="both"/>
                  </w:pPr>
                  <w:r>
                    <w:rPr>
                      <w:rFonts w:ascii="仿宋_GB2312" w:hAnsi="仿宋_GB2312" w:cs="仿宋_GB2312" w:eastAsia="仿宋_GB2312"/>
                      <w:sz w:val="21"/>
                    </w:rPr>
                    <w:t>需支持接入不低于</w:t>
                  </w:r>
                  <w:r>
                    <w:rPr>
                      <w:rFonts w:ascii="仿宋_GB2312" w:hAnsi="仿宋_GB2312" w:cs="仿宋_GB2312" w:eastAsia="仿宋_GB2312"/>
                      <w:sz w:val="21"/>
                    </w:rPr>
                    <w:t>10000</w:t>
                  </w:r>
                  <w:r>
                    <w:rPr>
                      <w:rFonts w:ascii="仿宋_GB2312" w:hAnsi="仿宋_GB2312" w:cs="仿宋_GB2312" w:eastAsia="仿宋_GB2312"/>
                      <w:sz w:val="21"/>
                    </w:rPr>
                    <w:t>点位数。</w:t>
                  </w:r>
                </w:p>
              </w:tc>
              <w:tc>
                <w:tcPr>
                  <w:tcW w:type="dxa" w:w="2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项</w:t>
                  </w:r>
                </w:p>
              </w:tc>
              <w:tc>
                <w:tcPr>
                  <w:tcW w:type="dxa" w:w="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6</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基础管理模块</w:t>
                  </w:r>
                </w:p>
              </w:tc>
              <w:tc>
                <w:tcPr>
                  <w:tcW w:type="dxa" w:w="12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对系统呈现的应用、系统风格进行自定义配置，以及快捷用户管理、系统管理等。支持用户管理；支持应用管理；支持风格设置；支持操作日志管理；支持存储管理、运维管理等管理功能。</w:t>
                  </w:r>
                </w:p>
              </w:tc>
              <w:tc>
                <w:tcPr>
                  <w:tcW w:type="dxa" w:w="2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项</w:t>
                  </w:r>
                </w:p>
              </w:tc>
              <w:tc>
                <w:tcPr>
                  <w:tcW w:type="dxa" w:w="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7</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解析模块</w:t>
                  </w:r>
                </w:p>
              </w:tc>
              <w:tc>
                <w:tcPr>
                  <w:tcW w:type="dxa" w:w="12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依托截取的人像图片，支持对检测的人脸进行特征信息提取，完成结构化数据生成，并存入视图库，为人脸分析提供数据基础。</w:t>
                  </w:r>
                  <w:r>
                    <w:br/>
                  </w:r>
                  <w:r>
                    <w:rPr>
                      <w:rFonts w:ascii="仿宋_GB2312" w:hAnsi="仿宋_GB2312" w:cs="仿宋_GB2312" w:eastAsia="仿宋_GB2312"/>
                      <w:sz w:val="21"/>
                    </w:rPr>
                    <w:t>支持识别人脸的童年、少年、青年、中年、老年等年龄段结构化属性信息；</w:t>
                  </w:r>
                  <w:r>
                    <w:br/>
                  </w:r>
                  <w:r>
                    <w:rPr>
                      <w:rFonts w:ascii="仿宋_GB2312" w:hAnsi="仿宋_GB2312" w:cs="仿宋_GB2312" w:eastAsia="仿宋_GB2312"/>
                      <w:sz w:val="21"/>
                    </w:rPr>
                    <w:t>识别不戴口罩、戴口罩嘴部特征结构化属性信息。识别不戴眼镜、戴眼镜眼部特征结构化属性信息。识别无胡须、小胡子、络腮胡等胡子特征结构化属性信息。识别光头</w:t>
                  </w:r>
                  <w:r>
                    <w:rPr>
                      <w:rFonts w:ascii="仿宋_GB2312" w:hAnsi="仿宋_GB2312" w:cs="仿宋_GB2312" w:eastAsia="仿宋_GB2312"/>
                      <w:sz w:val="21"/>
                    </w:rPr>
                    <w:t>/</w:t>
                  </w:r>
                  <w:r>
                    <w:rPr>
                      <w:rFonts w:ascii="仿宋_GB2312" w:hAnsi="仿宋_GB2312" w:cs="仿宋_GB2312" w:eastAsia="仿宋_GB2312"/>
                      <w:sz w:val="21"/>
                    </w:rPr>
                    <w:t>少量头发、短发、长发发型特征结构化属性信息。识别不戴帽子、戴帽头部特征结构化属性信息。</w:t>
                  </w:r>
                </w:p>
              </w:tc>
              <w:tc>
                <w:tcPr>
                  <w:tcW w:type="dxa" w:w="2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项</w:t>
                  </w:r>
                </w:p>
              </w:tc>
              <w:tc>
                <w:tcPr>
                  <w:tcW w:type="dxa" w:w="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8</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检索模块</w:t>
                  </w:r>
                </w:p>
              </w:tc>
              <w:tc>
                <w:tcPr>
                  <w:tcW w:type="dxa" w:w="12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对接结构化人脸视图库。</w:t>
                  </w:r>
                  <w:r>
                    <w:br/>
                  </w:r>
                  <w:r>
                    <w:rPr>
                      <w:rFonts w:ascii="仿宋_GB2312" w:hAnsi="仿宋_GB2312" w:cs="仿宋_GB2312" w:eastAsia="仿宋_GB2312"/>
                      <w:sz w:val="21"/>
                    </w:rPr>
                    <w:t>支持特征检索；支持以图搜图；支持轨迹检索。</w:t>
                  </w:r>
                </w:p>
              </w:tc>
              <w:tc>
                <w:tcPr>
                  <w:tcW w:type="dxa" w:w="2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项</w:t>
                  </w:r>
                </w:p>
              </w:tc>
              <w:tc>
                <w:tcPr>
                  <w:tcW w:type="dxa" w:w="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9</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视图库及标准接口</w:t>
                  </w:r>
                </w:p>
              </w:tc>
              <w:tc>
                <w:tcPr>
                  <w:tcW w:type="dxa" w:w="12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搭建视图库，并且对接上层视图库。</w:t>
                  </w:r>
                </w:p>
                <w:p>
                  <w:pPr>
                    <w:pStyle w:val="null3"/>
                    <w:jc w:val="both"/>
                  </w:pPr>
                  <w:r>
                    <w:rPr>
                      <w:rFonts w:ascii="仿宋_GB2312" w:hAnsi="仿宋_GB2312" w:cs="仿宋_GB2312" w:eastAsia="仿宋_GB2312"/>
                      <w:sz w:val="21"/>
                    </w:rPr>
                    <w:t>按业务平台系统接口要求提供异常人员档案数据。</w:t>
                  </w:r>
                </w:p>
                <w:p>
                  <w:pPr>
                    <w:pStyle w:val="null3"/>
                    <w:jc w:val="both"/>
                  </w:pPr>
                  <w:r>
                    <w:rPr>
                      <w:rFonts w:ascii="仿宋_GB2312" w:hAnsi="仿宋_GB2312" w:cs="仿宋_GB2312" w:eastAsia="仿宋_GB2312"/>
                      <w:sz w:val="21"/>
                    </w:rPr>
                    <w:t>按要求完成异常行为人比对输出结果。</w:t>
                  </w:r>
                </w:p>
              </w:tc>
              <w:tc>
                <w:tcPr>
                  <w:tcW w:type="dxa" w:w="2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项</w:t>
                  </w:r>
                </w:p>
              </w:tc>
              <w:tc>
                <w:tcPr>
                  <w:tcW w:type="dxa" w:w="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bl>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jc w:val="both"/>
            </w:pPr>
            <w:r>
              <w:rPr>
                <w:rFonts w:ascii="仿宋_GB2312" w:hAnsi="仿宋_GB2312" w:cs="仿宋_GB2312" w:eastAsia="仿宋_GB2312"/>
                <w:sz w:val="21"/>
              </w:rPr>
              <w:t>详细软件内容要求如下</w:t>
            </w:r>
            <w:r>
              <w:rPr>
                <w:rFonts w:ascii="仿宋_GB2312" w:hAnsi="仿宋_GB2312" w:cs="仿宋_GB2312" w:eastAsia="仿宋_GB2312"/>
                <w:sz w:val="21"/>
              </w:rPr>
              <w:t>（</w:t>
            </w:r>
            <w:r>
              <w:rPr>
                <w:rFonts w:ascii="仿宋_GB2312" w:hAnsi="仿宋_GB2312" w:cs="仿宋_GB2312" w:eastAsia="仿宋_GB2312"/>
                <w:sz w:val="21"/>
              </w:rPr>
              <w:t>带有</w:t>
            </w:r>
            <w:r>
              <w:rPr>
                <w:rFonts w:ascii="仿宋_GB2312" w:hAnsi="仿宋_GB2312" w:cs="仿宋_GB2312" w:eastAsia="仿宋_GB2312"/>
                <w:sz w:val="21"/>
              </w:rPr>
              <w:t>“●”号标注的条款是关键性技术要求，供应商对每一项条款进行功能演示，评委根据供应商演示的每个功能点进行评分</w:t>
            </w:r>
            <w:r>
              <w:rPr>
                <w:rFonts w:ascii="仿宋_GB2312" w:hAnsi="仿宋_GB2312" w:cs="仿宋_GB2312" w:eastAsia="仿宋_GB2312"/>
                <w:sz w:val="21"/>
              </w:rPr>
              <w:t>）</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公共安全视频图像智慧应用平台：依托解析数据和底库数据，完成各类应用建设。主要包括以下功能。</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）●布控预警：支持将重点人员加入名单库进行管理，并进行布控。当布控对象出现在监控区域时将产生报警提醒。</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）预警查询：支持按相机、时间段、分析类型条件查询报警记录。</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）预警统计：支持按照行为分析类型、报警地点或报警时间统计报警，查看报警统计图和详细数据。</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）客流统计：支持进出人数统计。</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5</w:t>
            </w:r>
            <w:r>
              <w:rPr>
                <w:rFonts w:ascii="仿宋_GB2312" w:hAnsi="仿宋_GB2312" w:cs="仿宋_GB2312" w:eastAsia="仿宋_GB2312"/>
                <w:sz w:val="21"/>
              </w:rPr>
              <w:t>）手持刀棍检测：当检测到人员持刀持棍时上报告警。</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平台基础管理模块：对系统呈现的应用、系统风格进行自定义配置，以及快捷用户管理、系统管理等。</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）●用户管理：支持新增组织、新增</w:t>
            </w:r>
            <w:r>
              <w:rPr>
                <w:rFonts w:ascii="仿宋_GB2312" w:hAnsi="仿宋_GB2312" w:cs="仿宋_GB2312" w:eastAsia="仿宋_GB2312"/>
                <w:sz w:val="21"/>
              </w:rPr>
              <w:t>/</w:t>
            </w:r>
            <w:r>
              <w:rPr>
                <w:rFonts w:ascii="仿宋_GB2312" w:hAnsi="仿宋_GB2312" w:cs="仿宋_GB2312" w:eastAsia="仿宋_GB2312"/>
                <w:sz w:val="21"/>
              </w:rPr>
              <w:t>修改</w:t>
            </w:r>
            <w:r>
              <w:rPr>
                <w:rFonts w:ascii="仿宋_GB2312" w:hAnsi="仿宋_GB2312" w:cs="仿宋_GB2312" w:eastAsia="仿宋_GB2312"/>
                <w:sz w:val="21"/>
              </w:rPr>
              <w:t>/</w:t>
            </w:r>
            <w:r>
              <w:rPr>
                <w:rFonts w:ascii="仿宋_GB2312" w:hAnsi="仿宋_GB2312" w:cs="仿宋_GB2312" w:eastAsia="仿宋_GB2312"/>
                <w:sz w:val="21"/>
              </w:rPr>
              <w:t>删除用户、设置用户为超级管理员、新增</w:t>
            </w:r>
            <w:r>
              <w:rPr>
                <w:rFonts w:ascii="仿宋_GB2312" w:hAnsi="仿宋_GB2312" w:cs="仿宋_GB2312" w:eastAsia="仿宋_GB2312"/>
                <w:sz w:val="21"/>
              </w:rPr>
              <w:t>/</w:t>
            </w:r>
            <w:r>
              <w:rPr>
                <w:rFonts w:ascii="仿宋_GB2312" w:hAnsi="仿宋_GB2312" w:cs="仿宋_GB2312" w:eastAsia="仿宋_GB2312"/>
                <w:sz w:val="21"/>
              </w:rPr>
              <w:t>修改</w:t>
            </w:r>
            <w:r>
              <w:rPr>
                <w:rFonts w:ascii="仿宋_GB2312" w:hAnsi="仿宋_GB2312" w:cs="仿宋_GB2312" w:eastAsia="仿宋_GB2312"/>
                <w:sz w:val="21"/>
              </w:rPr>
              <w:t>/</w:t>
            </w:r>
            <w:r>
              <w:rPr>
                <w:rFonts w:ascii="仿宋_GB2312" w:hAnsi="仿宋_GB2312" w:cs="仿宋_GB2312" w:eastAsia="仿宋_GB2312"/>
                <w:sz w:val="21"/>
              </w:rPr>
              <w:t>删除角色等。</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）●应用管理，设置应用菜单。</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）支持风格设置。</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）●操作日志管理：系统自动记录用户的操作并生成系统日志。</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5</w:t>
            </w:r>
            <w:r>
              <w:rPr>
                <w:rFonts w:ascii="仿宋_GB2312" w:hAnsi="仿宋_GB2312" w:cs="仿宋_GB2312" w:eastAsia="仿宋_GB2312"/>
                <w:sz w:val="21"/>
              </w:rPr>
              <w:t>）支持存储管理、运维管理等管理功能。</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解析模块：依托截取的人像图片，支持对检测的人脸进行特征信息提取，完成结构化数据生成，并存入视图库，为人脸分析提供数据基础。</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）●对检测的人脸进行特征信息识别，完成结构化数据生成，并存入视图库。</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）支持识别人脸的童年、少年、青年、中年、老年等年龄段结构化属性信息；</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）识别不戴口罩、戴口罩嘴部特征结构化属性信息。</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）识别不戴眼镜、戴眼镜眼部特征结构化属性信息。</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5</w:t>
            </w:r>
            <w:r>
              <w:rPr>
                <w:rFonts w:ascii="仿宋_GB2312" w:hAnsi="仿宋_GB2312" w:cs="仿宋_GB2312" w:eastAsia="仿宋_GB2312"/>
                <w:sz w:val="21"/>
              </w:rPr>
              <w:t>）识别无胡须、小胡子、络腮胡等胡子特征结构化属性信息。</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6</w:t>
            </w:r>
            <w:r>
              <w:rPr>
                <w:rFonts w:ascii="仿宋_GB2312" w:hAnsi="仿宋_GB2312" w:cs="仿宋_GB2312" w:eastAsia="仿宋_GB2312"/>
                <w:sz w:val="21"/>
              </w:rPr>
              <w:t>）识别光头</w:t>
            </w:r>
            <w:r>
              <w:rPr>
                <w:rFonts w:ascii="仿宋_GB2312" w:hAnsi="仿宋_GB2312" w:cs="仿宋_GB2312" w:eastAsia="仿宋_GB2312"/>
                <w:sz w:val="21"/>
              </w:rPr>
              <w:t>/</w:t>
            </w:r>
            <w:r>
              <w:rPr>
                <w:rFonts w:ascii="仿宋_GB2312" w:hAnsi="仿宋_GB2312" w:cs="仿宋_GB2312" w:eastAsia="仿宋_GB2312"/>
                <w:sz w:val="21"/>
              </w:rPr>
              <w:t>少量头发、短发、长发发型特征结构化属性信息。</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7</w:t>
            </w:r>
            <w:r>
              <w:rPr>
                <w:rFonts w:ascii="仿宋_GB2312" w:hAnsi="仿宋_GB2312" w:cs="仿宋_GB2312" w:eastAsia="仿宋_GB2312"/>
                <w:sz w:val="21"/>
              </w:rPr>
              <w:t>）识别不戴帽子、戴帽头部特征结构化属性信息。</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检索模块：对接结构化人脸视图库，支持各类检索。</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）特征检索：对系统中保存的自相机抓拍、视频文件、图片等解析的海量人脸目标进行特征检索，支持查询</w:t>
            </w:r>
            <w:r>
              <w:rPr>
                <w:rFonts w:ascii="仿宋_GB2312" w:hAnsi="仿宋_GB2312" w:cs="仿宋_GB2312" w:eastAsia="仿宋_GB2312"/>
                <w:sz w:val="21"/>
              </w:rPr>
              <w:t>/</w:t>
            </w:r>
            <w:r>
              <w:rPr>
                <w:rFonts w:ascii="仿宋_GB2312" w:hAnsi="仿宋_GB2312" w:cs="仿宋_GB2312" w:eastAsia="仿宋_GB2312"/>
                <w:sz w:val="21"/>
              </w:rPr>
              <w:t>导出历史人脸数据，查询条件：时间段、地点、性别、是否戴眼镜、是否戴口罩、是否微笑。</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）●以图搜图：通过上传目标图片，一键获取目标在时空范围内的全量抓拍数据。</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）轨迹检索：支持选择人脸数据生成轨迹。</w:t>
            </w:r>
          </w:p>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视图库及标准接口：搭建视图库，并且对接上层视图库。按业务平台系统接口要求提供人脸档案数据。按要求完成异常行为人比对输出结果。</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标准视图库功能：标准视图库搭建。</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异常人员档案数据功能：通过标准接口获取异常人员档案数据，包括人员姓名、人员身份证号、人员家庭住址信息、人员身份证照片、人员可能存在的异常行为人标签信息。</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jc w:val="both"/>
            </w:pPr>
            <w:r>
              <w:rPr>
                <w:rFonts w:ascii="仿宋_GB2312" w:hAnsi="仿宋_GB2312" w:cs="仿宋_GB2312" w:eastAsia="仿宋_GB2312"/>
                <w:sz w:val="21"/>
              </w:rPr>
              <w:t>三、项目实施工期要求</w:t>
            </w:r>
          </w:p>
          <w:p>
            <w:pPr>
              <w:pStyle w:val="null3"/>
              <w:jc w:val="both"/>
            </w:pPr>
            <w:r>
              <w:rPr>
                <w:rFonts w:ascii="仿宋_GB2312" w:hAnsi="仿宋_GB2312" w:cs="仿宋_GB2312" w:eastAsia="仿宋_GB2312"/>
                <w:sz w:val="21"/>
              </w:rPr>
              <w:t>自合同签订之日起，</w:t>
            </w:r>
            <w:r>
              <w:rPr>
                <w:rFonts w:ascii="仿宋_GB2312" w:hAnsi="仿宋_GB2312" w:cs="仿宋_GB2312" w:eastAsia="仿宋_GB2312"/>
                <w:sz w:val="21"/>
              </w:rPr>
              <w:t>180</w:t>
            </w:r>
            <w:r>
              <w:rPr>
                <w:rFonts w:ascii="仿宋_GB2312" w:hAnsi="仿宋_GB2312" w:cs="仿宋_GB2312" w:eastAsia="仿宋_GB2312"/>
                <w:sz w:val="21"/>
              </w:rPr>
              <w:t>天内完成实施上线。</w:t>
            </w:r>
          </w:p>
          <w:p>
            <w:pPr>
              <w:pStyle w:val="null3"/>
              <w:jc w:val="both"/>
            </w:pPr>
            <w:r>
              <w:rPr>
                <w:rFonts w:ascii="仿宋_GB2312" w:hAnsi="仿宋_GB2312" w:cs="仿宋_GB2312" w:eastAsia="仿宋_GB2312"/>
                <w:sz w:val="21"/>
              </w:rPr>
              <w:t>四、售后服务需求</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保修年限、范围</w:t>
            </w:r>
          </w:p>
          <w:p>
            <w:pPr>
              <w:pStyle w:val="null3"/>
              <w:jc w:val="both"/>
            </w:pPr>
            <w:r>
              <w:rPr>
                <w:rFonts w:ascii="仿宋_GB2312" w:hAnsi="仿宋_GB2312" w:cs="仿宋_GB2312" w:eastAsia="仿宋_GB2312"/>
                <w:sz w:val="21"/>
              </w:rPr>
              <w:t>系统硬件部分，要求自项目终验合格后，免费提供</w:t>
            </w:r>
            <w:r>
              <w:rPr>
                <w:rFonts w:ascii="仿宋_GB2312" w:hAnsi="仿宋_GB2312" w:cs="仿宋_GB2312" w:eastAsia="仿宋_GB2312"/>
                <w:sz w:val="21"/>
              </w:rPr>
              <w:t>3</w:t>
            </w:r>
            <w:r>
              <w:rPr>
                <w:rFonts w:ascii="仿宋_GB2312" w:hAnsi="仿宋_GB2312" w:cs="仿宋_GB2312" w:eastAsia="仿宋_GB2312"/>
                <w:sz w:val="21"/>
              </w:rPr>
              <w:t>年维保</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系统软件部分，要求自项目终验合格后，免费提供</w:t>
            </w:r>
            <w:r>
              <w:rPr>
                <w:rFonts w:ascii="仿宋_GB2312" w:hAnsi="仿宋_GB2312" w:cs="仿宋_GB2312" w:eastAsia="仿宋_GB2312"/>
                <w:sz w:val="21"/>
              </w:rPr>
              <w:t>1</w:t>
            </w:r>
            <w:r>
              <w:rPr>
                <w:rFonts w:ascii="仿宋_GB2312" w:hAnsi="仿宋_GB2312" w:cs="仿宋_GB2312" w:eastAsia="仿宋_GB2312"/>
                <w:sz w:val="21"/>
              </w:rPr>
              <w:t>年维保</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解决问题、排除故障的响应时间</w:t>
            </w:r>
          </w:p>
          <w:p>
            <w:pPr>
              <w:pStyle w:val="null3"/>
              <w:jc w:val="both"/>
            </w:pPr>
            <w:r>
              <w:rPr>
                <w:rFonts w:ascii="仿宋_GB2312" w:hAnsi="仿宋_GB2312" w:cs="仿宋_GB2312" w:eastAsia="仿宋_GB2312"/>
                <w:sz w:val="21"/>
              </w:rPr>
              <w:t>质保期内需提供</w:t>
            </w:r>
            <w:r>
              <w:rPr>
                <w:rFonts w:ascii="仿宋_GB2312" w:hAnsi="仿宋_GB2312" w:cs="仿宋_GB2312" w:eastAsia="仿宋_GB2312"/>
                <w:sz w:val="21"/>
              </w:rPr>
              <w:t>7</w:t>
            </w:r>
            <w:r>
              <w:rPr>
                <w:rFonts w:ascii="仿宋_GB2312" w:hAnsi="仿宋_GB2312" w:cs="仿宋_GB2312" w:eastAsia="仿宋_GB2312"/>
                <w:sz w:val="21"/>
              </w:rPr>
              <w:t>×</w:t>
            </w:r>
            <w:r>
              <w:rPr>
                <w:rFonts w:ascii="仿宋_GB2312" w:hAnsi="仿宋_GB2312" w:cs="仿宋_GB2312" w:eastAsia="仿宋_GB2312"/>
                <w:sz w:val="21"/>
              </w:rPr>
              <w:t>24</w:t>
            </w:r>
            <w:r>
              <w:rPr>
                <w:rFonts w:ascii="仿宋_GB2312" w:hAnsi="仿宋_GB2312" w:cs="仿宋_GB2312" w:eastAsia="仿宋_GB2312"/>
                <w:sz w:val="21"/>
              </w:rPr>
              <w:t>小时驻场服务，驻场人员要求不少于</w:t>
            </w:r>
            <w:r>
              <w:rPr>
                <w:rFonts w:ascii="仿宋_GB2312" w:hAnsi="仿宋_GB2312" w:cs="仿宋_GB2312" w:eastAsia="仿宋_GB2312"/>
                <w:sz w:val="21"/>
              </w:rPr>
              <w:t>2</w:t>
            </w:r>
            <w:r>
              <w:rPr>
                <w:rFonts w:ascii="仿宋_GB2312" w:hAnsi="仿宋_GB2312" w:cs="仿宋_GB2312" w:eastAsia="仿宋_GB2312"/>
                <w:sz w:val="21"/>
              </w:rPr>
              <w:t>人（</w:t>
            </w:r>
            <w:r>
              <w:rPr>
                <w:rFonts w:ascii="仿宋_GB2312" w:hAnsi="仿宋_GB2312" w:cs="仿宋_GB2312" w:eastAsia="仿宋_GB2312"/>
                <w:sz w:val="21"/>
              </w:rPr>
              <w:t>至少配备</w:t>
            </w:r>
            <w:r>
              <w:rPr>
                <w:rFonts w:ascii="仿宋_GB2312" w:hAnsi="仿宋_GB2312" w:cs="仿宋_GB2312" w:eastAsia="仿宋_GB2312"/>
                <w:sz w:val="21"/>
              </w:rPr>
              <w:t>1</w:t>
            </w:r>
            <w:r>
              <w:rPr>
                <w:rFonts w:ascii="仿宋_GB2312" w:hAnsi="仿宋_GB2312" w:cs="仿宋_GB2312" w:eastAsia="仿宋_GB2312"/>
                <w:sz w:val="21"/>
              </w:rPr>
              <w:t>名硬件工程师</w:t>
            </w:r>
            <w:r>
              <w:rPr>
                <w:rFonts w:ascii="仿宋_GB2312" w:hAnsi="仿宋_GB2312" w:cs="仿宋_GB2312" w:eastAsia="仿宋_GB2312"/>
                <w:sz w:val="21"/>
              </w:rPr>
              <w:t>及</w:t>
            </w:r>
            <w:r>
              <w:rPr>
                <w:rFonts w:ascii="仿宋_GB2312" w:hAnsi="仿宋_GB2312" w:cs="仿宋_GB2312" w:eastAsia="仿宋_GB2312"/>
                <w:sz w:val="21"/>
              </w:rPr>
              <w:t>1</w:t>
            </w:r>
            <w:r>
              <w:rPr>
                <w:rFonts w:ascii="仿宋_GB2312" w:hAnsi="仿宋_GB2312" w:cs="仿宋_GB2312" w:eastAsia="仿宋_GB2312"/>
                <w:sz w:val="21"/>
              </w:rPr>
              <w:t>名软件工程师）。对于驻场工程师无法解决的问题或系统发生严重故障时，供应商专家团队到达现场响应时间不超过</w:t>
            </w:r>
            <w:r>
              <w:rPr>
                <w:rFonts w:ascii="仿宋_GB2312" w:hAnsi="仿宋_GB2312" w:cs="仿宋_GB2312" w:eastAsia="仿宋_GB2312"/>
                <w:sz w:val="21"/>
              </w:rPr>
              <w:t>1</w:t>
            </w:r>
            <w:r>
              <w:rPr>
                <w:rFonts w:ascii="仿宋_GB2312" w:hAnsi="仿宋_GB2312" w:cs="仿宋_GB2312" w:eastAsia="仿宋_GB2312"/>
                <w:sz w:val="21"/>
              </w:rPr>
              <w:t>小时，</w:t>
            </w:r>
            <w:r>
              <w:rPr>
                <w:rFonts w:ascii="仿宋_GB2312" w:hAnsi="仿宋_GB2312" w:cs="仿宋_GB2312" w:eastAsia="仿宋_GB2312"/>
                <w:sz w:val="21"/>
              </w:rPr>
              <w:t>4</w:t>
            </w:r>
            <w:r>
              <w:rPr>
                <w:rFonts w:ascii="仿宋_GB2312" w:hAnsi="仿宋_GB2312" w:cs="仿宋_GB2312" w:eastAsia="仿宋_GB2312"/>
                <w:sz w:val="21"/>
              </w:rPr>
              <w:t>小时内排除故障。</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系统培训</w:t>
            </w:r>
          </w:p>
          <w:p>
            <w:pPr>
              <w:pStyle w:val="null3"/>
              <w:jc w:val="both"/>
            </w:pPr>
            <w:r>
              <w:rPr>
                <w:rFonts w:ascii="仿宋_GB2312" w:hAnsi="仿宋_GB2312" w:cs="仿宋_GB2312" w:eastAsia="仿宋_GB2312"/>
                <w:sz w:val="21"/>
              </w:rPr>
              <w:t>应根据用户单位要求，随时、不限次的由驻场人员开展培训和技术交流，培训人员应具有相关专业知识，能确保培训效果，培训产生的相关费用全部由供应商自行承担。培训对象包括用户单位的技术人员、各科室的使用人员等。</w:t>
            </w:r>
          </w:p>
          <w:p>
            <w:pPr>
              <w:pStyle w:val="null3"/>
              <w:jc w:val="both"/>
            </w:pPr>
            <w:r>
              <w:rPr>
                <w:rFonts w:ascii="仿宋_GB2312" w:hAnsi="仿宋_GB2312" w:cs="仿宋_GB2312" w:eastAsia="仿宋_GB2312"/>
                <w:sz w:val="21"/>
              </w:rPr>
              <w:t>供应商提供有关软件产品使用、维护及基于该产品的开发等方面的详细培训计划（包括培训方案、培训课程）和详细的操作使用文档，在用户单位指定的地点进行集中培训。</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软件升级</w:t>
            </w:r>
          </w:p>
          <w:p>
            <w:pPr>
              <w:pStyle w:val="null3"/>
              <w:jc w:val="both"/>
            </w:pPr>
            <w:r>
              <w:rPr>
                <w:rFonts w:ascii="仿宋_GB2312" w:hAnsi="仿宋_GB2312" w:cs="仿宋_GB2312" w:eastAsia="仿宋_GB2312"/>
                <w:sz w:val="21"/>
              </w:rPr>
              <w:t>质保期内应用软件维护、应用软件一般性升级等所产生的费用均由供应商承担，涉及框架改变的需求调整和软件升级由供应商与采购人根据实际工作量另行协商。</w:t>
            </w:r>
          </w:p>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履约保证金：中标人须按照中标金额的</w:t>
            </w:r>
            <w:r>
              <w:rPr>
                <w:rFonts w:ascii="仿宋_GB2312" w:hAnsi="仿宋_GB2312" w:cs="仿宋_GB2312" w:eastAsia="仿宋_GB2312"/>
                <w:sz w:val="21"/>
              </w:rPr>
              <w:t>5</w:t>
            </w:r>
            <w:r>
              <w:rPr>
                <w:rFonts w:ascii="仿宋_GB2312" w:hAnsi="仿宋_GB2312" w:cs="仿宋_GB2312" w:eastAsia="仿宋_GB2312"/>
                <w:sz w:val="21"/>
              </w:rPr>
              <w:t>％，作为履约保证金在签订合同前向西安市公安局地铁分局缴纳。项目终验合格后一个月内全额无息一次性退付中标人。缴纳形式：以保函、担保、本票等非现金形式缴纳。</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满足项目采购要求配备</w:t>
      </w:r>
    </w:p>
    <w:p>
      <w:pPr>
        <w:pStyle w:val="null3"/>
        <w:outlineLvl w:val="3"/>
      </w:pPr>
      <w:r>
        <w:rPr>
          <w:rFonts w:ascii="仿宋_GB2312" w:hAnsi="仿宋_GB2312" w:cs="仿宋_GB2312" w:eastAsia="仿宋_GB2312"/>
          <w:sz w:val="24"/>
          <w:b/>
        </w:rPr>
        <w:t>3.2.4设施设备配置要求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满足项目采购要求配备</w:t>
      </w:r>
    </w:p>
    <w:p>
      <w:pPr>
        <w:pStyle w:val="null3"/>
        <w:outlineLvl w:val="3"/>
      </w:pPr>
      <w:r>
        <w:rPr>
          <w:rFonts w:ascii="仿宋_GB2312" w:hAnsi="仿宋_GB2312" w:cs="仿宋_GB2312" w:eastAsia="仿宋_GB2312"/>
          <w:sz w:val="24"/>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项目实施工期要求：自合同签订之日起，180天内完成实施上线。</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根据招标文件、投标文件、合同及国家相关标准。</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签订合同后，硬件软件全部进场</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项目验收合格后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60.00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违约责任：1、合同生效后，甲乙双方应按合同规定认真履约。合同履约责任只涉及合同甲乙双方，不考虑第三方因素。2、乙方对服务过程中出现的问题推委、拖延，24小时未作出服务响应，应接受甲方的合理处罚。3、由乙方原因不能履行合同服务项目，或履行合同质效达不到规定，甲方有权聘请第三方公司执行合同内所列项目，发生费用从乙方服务费用中扣除支付。 争议解决：1、合同一经签订，不得随意变更、中止或终止。对确需变更、调整或者中止、终止合同的，应按规定履行相应的手续。2、合同执行中发生争议的，甲、乙双方应协商解决，协商达不成一致时，可向甲方所在地人民法院提请诉讼。</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采购标的对应的中小企业划分标准所属行业为：软件和信息技术服务业。划型标准为：从业人员300人以下或营业收入10000万元以下的为中小微型企业。其中，从业人员100人及以上，且营业收入1000万元及以上的为中型企业；从业人员10人及以上，且营业收入50万元及以上的为小型企业；从业人员10人以下或营业收入50万元以下的为微型企业。2.需要落实的政府采购政策：（1）、《国务院办公厅关于建立政府强制采购节能产品制度的通知》（国办发〔2007〕51号）；（2）、《财政部 司法部关于政府采购支持监狱企业发展有关问题的通知》（财库〔2014〕68号）；（3）、《三部门联合发布关于促进残疾人就业政府采购政策的通知》（财库〔2017〕141号）；（4）、《财政部 发展改革委 生态环境部 市场监管总局关于调整优化节能产品、环境标志产品政府采购执行机制的通知》（财库〔2019〕9号）；（5）、《关于运用政府采购政策支持乡村产业振兴的通知》（财库〔2021〕19号）；（6）、《政府采购促进中小企业发展管理办法》（财库〔2020〕46号）；（7）、陕西省财政厅关于印发《陕西省中小企业政府采购信用融资办法》（陕财办采〔2018〕23号）；（8）、《关于进一步加大政府采购支持中小企业力度的通知》（财库〔2022〕19号）；（9）、《关于扩大政府采购支持绿色建材促进建筑品质提升政策实施范围的通知》（财库〔2022〕35号）。3.本项目设置线下演示环节，请各供应商自行携带笔记本电脑等相关连接设备进行线下系统演示，场地为：西安市太白南路181号西部电子社区A座A区501室龙寰项目管理咨询有限公司开标室，请供应商于开标时间前往龙寰项目管理咨询有限公司开标室等待演示，逾期或迟到的供应商视为自动放弃本次演示机会，演示时长不超过15分钟/家。演示现场仅提供投影仪，电源线等基础实施设备及条件，各供应商须自行搭建展示及演示环境，供应商使用软件的真实系统或者系统操作录屏视频进行各模块、功能演示，PPT、图片、静态页面或不演示均不得分，演示顺序由各供应商现场抽签确定。4.供应商需要在线提交所有通过电子化交易平台实施的政府采购项目的投标文件，同时，线下提交纸质投标文件壹份，具体要求详见招标公告。5.本项目专门面向中小企业采购（残疾人福利性单位、监狱企业视同小型、微型企业）。</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相关资格证明资料.docx 开标一览表 开标一览表及分项报价表.docx 商务响应偏离表.docx 投标函 标的清单 承诺书.docx 投标文件封面 响应部分.docx 身份证明文件.docx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相关资格证明资料.docx 投标函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相关资格证明资料.docx 投标函 承诺书.docx</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具有独立承担民事责任能力的法人、其他组织或自然人</w:t>
            </w:r>
          </w:p>
        </w:tc>
        <w:tc>
          <w:tcPr>
            <w:tcW w:type="dxa" w:w="3322"/>
          </w:tcPr>
          <w:p>
            <w:pPr>
              <w:pStyle w:val="null3"/>
            </w:pPr>
            <w:r>
              <w:rPr>
                <w:rFonts w:ascii="仿宋_GB2312" w:hAnsi="仿宋_GB2312" w:cs="仿宋_GB2312" w:eastAsia="仿宋_GB2312"/>
              </w:rPr>
              <w:t>法人或者其他组织提供营业执照、事业单位法人证书等证明文件，自然人提供身份证件，供应商需在项目电子化交易系统中按要求上传相应证明文件并进行电子签章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相关资格证明资料.docx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身份证明文件</w:t>
            </w:r>
          </w:p>
        </w:tc>
        <w:tc>
          <w:tcPr>
            <w:tcW w:type="dxa" w:w="3322"/>
          </w:tcPr>
          <w:p>
            <w:pPr>
              <w:pStyle w:val="null3"/>
            </w:pPr>
            <w:r>
              <w:rPr>
                <w:rFonts w:ascii="仿宋_GB2312" w:hAnsi="仿宋_GB2312" w:cs="仿宋_GB2312" w:eastAsia="仿宋_GB2312"/>
              </w:rPr>
              <w:t>法定代表人（单位负责人）授权委托书（附法定代表人（单位负责人）、被授权人身份证复印件及被授权人近三个月社保缴纳的证明资料）（法定代表人（单位负责人）直接参加的，须提供法定代表人（单位负责人）身份证明书及身份证复印件且与营业执照上信息须一致），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相关资格证明资料.docx 身份证明文件.docx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社会保险缴纳的凭证</w:t>
            </w:r>
          </w:p>
        </w:tc>
        <w:tc>
          <w:tcPr>
            <w:tcW w:type="dxa" w:w="3322"/>
          </w:tcPr>
          <w:p>
            <w:pPr>
              <w:pStyle w:val="null3"/>
            </w:pPr>
            <w:r>
              <w:rPr>
                <w:rFonts w:ascii="仿宋_GB2312" w:hAnsi="仿宋_GB2312" w:cs="仿宋_GB2312" w:eastAsia="仿宋_GB2312"/>
              </w:rPr>
              <w:t>供应商在本项目投标文件递交截止时间前十二个月内任意时段的社会保障资金缴存单据或社保机构开具的社会保险参保缴费情况证明材料，依法免缴社保的供应商应提供相关证明文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相关资格证明资料.docx 投标函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税收缴纳凭证</w:t>
            </w:r>
          </w:p>
        </w:tc>
        <w:tc>
          <w:tcPr>
            <w:tcW w:type="dxa" w:w="3322"/>
          </w:tcPr>
          <w:p>
            <w:pPr>
              <w:pStyle w:val="null3"/>
            </w:pPr>
            <w:r>
              <w:rPr>
                <w:rFonts w:ascii="仿宋_GB2312" w:hAnsi="仿宋_GB2312" w:cs="仿宋_GB2312" w:eastAsia="仿宋_GB2312"/>
              </w:rPr>
              <w:t>供应商在本项目投标文件递交截止时间前十二个月内已缴纳任意时段、任意税种凭证或税务机关开具的完税证明材料，依法免缴税收的供应商应提供相关证明文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相关资格证明资料.docx 投标函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供应商提供具有履行合同所必需的设备和专业技术能力、参加政府采购活动前3年内在经营活动中没有重大违法记录的书面承诺，其中：重大违法记录是指供应商因违法经营受到刑事处罚或者责令停产停业、吊销许可证或者执照、较大数额罚款等行政处罚</w:t>
            </w:r>
          </w:p>
        </w:tc>
        <w:tc>
          <w:tcPr>
            <w:tcW w:type="dxa" w:w="3322"/>
          </w:tcPr>
          <w:p>
            <w:pPr>
              <w:pStyle w:val="null3"/>
            </w:pPr>
            <w:r>
              <w:rPr>
                <w:rFonts w:ascii="仿宋_GB2312" w:hAnsi="仿宋_GB2312" w:cs="仿宋_GB2312" w:eastAsia="仿宋_GB2312"/>
              </w:rPr>
              <w:t>供应商提供具有履行合同所必需的设备和专业技术能力、参加政府采购活动前3年内在经营活动中没有重大违法记录的书面承诺，供应商需在项目电子化交易系统中按要求上传相应证明文件并进行电子签章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相关资格证明资料.docx 投标函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财务状况</w:t>
            </w:r>
          </w:p>
        </w:tc>
        <w:tc>
          <w:tcPr>
            <w:tcW w:type="dxa" w:w="3322"/>
          </w:tcPr>
          <w:p>
            <w:pPr>
              <w:pStyle w:val="null3"/>
            </w:pPr>
            <w:r>
              <w:rPr>
                <w:rFonts w:ascii="仿宋_GB2312" w:hAnsi="仿宋_GB2312" w:cs="仿宋_GB2312" w:eastAsia="仿宋_GB2312"/>
              </w:rPr>
              <w:t>供应商提供2024年度经审计的财务报告（事业法人可提供部门决算报告）或提供开标日前三个月内基本存款账户银行出具的资信证明及基本存款账户银行相关证明资料或政府采购专业担保机构出具的投标担保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相关资格证明资料.docx 投标函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其他要求</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相关资格证明资料.docx 投标函 承诺书.docx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供应商信用状况</w:t>
            </w:r>
          </w:p>
        </w:tc>
        <w:tc>
          <w:tcPr>
            <w:tcW w:type="dxa" w:w="3322"/>
          </w:tcPr>
          <w:p>
            <w:pPr>
              <w:pStyle w:val="null3"/>
            </w:pPr>
            <w:r>
              <w:rPr>
                <w:rFonts w:ascii="仿宋_GB2312" w:hAnsi="仿宋_GB2312" w:cs="仿宋_GB2312" w:eastAsia="仿宋_GB2312"/>
              </w:rPr>
              <w:t>供应商不得为“信用中国”网站（www.creditchina.gov.cn）中列入失信被执行人和重大税收违法失信主体的供应商，不得为中国政府采购网（www.ccgp.gov.cn）政府采购严重违法失信行为记录名单中被财政部门禁止参加政府采购活动的供应商。以开标后网站查询结果为准</w:t>
            </w:r>
          </w:p>
        </w:tc>
        <w:tc>
          <w:tcPr>
            <w:tcW w:type="dxa" w:w="1661"/>
          </w:tcPr>
          <w:p>
            <w:pPr>
              <w:pStyle w:val="null3"/>
            </w:pPr>
            <w:r>
              <w:rPr>
                <w:rFonts w:ascii="仿宋_GB2312" w:hAnsi="仿宋_GB2312" w:cs="仿宋_GB2312" w:eastAsia="仿宋_GB2312"/>
              </w:rPr>
              <w:t>相关资格证明资料.docx 开标一览表 开标一览表及分项报价表.docx 商务响应偏离表.docx 投标函 标的清单 承诺书.docx 投标文件封面 响应部分.docx 身份证明文件.docx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相关资格证明资料.docx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 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（三）根据需要要求采购组织单位对招标文件作出解释；根据需要要求供应商对投标文件有关事项作出 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投标文件签署、盖章</w:t>
            </w:r>
          </w:p>
        </w:tc>
        <w:tc>
          <w:tcPr>
            <w:tcW w:type="dxa" w:w="3322"/>
          </w:tcPr>
          <w:p>
            <w:pPr>
              <w:pStyle w:val="null3"/>
            </w:pPr>
            <w:r>
              <w:rPr>
                <w:rFonts w:ascii="仿宋_GB2312" w:hAnsi="仿宋_GB2312" w:cs="仿宋_GB2312" w:eastAsia="仿宋_GB2312"/>
              </w:rPr>
              <w:t>投标文件签署、盖章均按招标文件要求签字、盖章</w:t>
            </w:r>
          </w:p>
        </w:tc>
        <w:tc>
          <w:tcPr>
            <w:tcW w:type="dxa" w:w="1661"/>
          </w:tcPr>
          <w:p>
            <w:pPr>
              <w:pStyle w:val="null3"/>
            </w:pPr>
            <w:r>
              <w:rPr>
                <w:rFonts w:ascii="仿宋_GB2312" w:hAnsi="仿宋_GB2312" w:cs="仿宋_GB2312" w:eastAsia="仿宋_GB2312"/>
              </w:rPr>
              <w:t>相关资格证明资料.docx 开标一览表 开标一览表及分项报价表.docx 商务响应偏离表.docx 投标函 标的清单 承诺书.docx 投标文件封面 响应部分.docx 身份证明文件.docx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投标文件有效期</w:t>
            </w:r>
          </w:p>
        </w:tc>
        <w:tc>
          <w:tcPr>
            <w:tcW w:type="dxa" w:w="3322"/>
          </w:tcPr>
          <w:p>
            <w:pPr>
              <w:pStyle w:val="null3"/>
            </w:pPr>
            <w:r>
              <w:rPr>
                <w:rFonts w:ascii="仿宋_GB2312" w:hAnsi="仿宋_GB2312" w:cs="仿宋_GB2312" w:eastAsia="仿宋_GB2312"/>
              </w:rPr>
              <w:t>投标文件有效期符合招标文件要求</w:t>
            </w:r>
          </w:p>
        </w:tc>
        <w:tc>
          <w:tcPr>
            <w:tcW w:type="dxa" w:w="1661"/>
          </w:tcPr>
          <w:p>
            <w:pPr>
              <w:pStyle w:val="null3"/>
            </w:pPr>
            <w:r>
              <w:rPr>
                <w:rFonts w:ascii="仿宋_GB2312" w:hAnsi="仿宋_GB2312" w:cs="仿宋_GB2312" w:eastAsia="仿宋_GB2312"/>
              </w:rPr>
              <w:t>开标一览表及分项报价表.docx 投标函 投标文件封面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报价唯一，且没有高于采购预算或招标文件规定的最高限价</w:t>
            </w:r>
          </w:p>
        </w:tc>
        <w:tc>
          <w:tcPr>
            <w:tcW w:type="dxa" w:w="1661"/>
          </w:tcPr>
          <w:p>
            <w:pPr>
              <w:pStyle w:val="null3"/>
            </w:pPr>
            <w:r>
              <w:rPr>
                <w:rFonts w:ascii="仿宋_GB2312" w:hAnsi="仿宋_GB2312" w:cs="仿宋_GB2312" w:eastAsia="仿宋_GB2312"/>
              </w:rPr>
              <w:t>开标一览表 开标一览表及分项报价表.docx 标的清单 投标文件封面</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开标一览表 开标一览表及分项报价表.docx 标的清单 投标文件封面</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保修年限、范围</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开标一览表 开标一览表及分项报价表.docx 标的清单 投标文件封面</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有效性审查</w:t>
            </w:r>
          </w:p>
        </w:tc>
        <w:tc>
          <w:tcPr>
            <w:tcW w:type="dxa" w:w="3322"/>
          </w:tcPr>
          <w:p>
            <w:pPr>
              <w:pStyle w:val="null3"/>
            </w:pPr>
            <w:r>
              <w:rPr>
                <w:rFonts w:ascii="仿宋_GB2312" w:hAnsi="仿宋_GB2312" w:cs="仿宋_GB2312" w:eastAsia="仿宋_GB2312"/>
              </w:rPr>
              <w:t>未出现招标文件规定的无效响应情形</w:t>
            </w:r>
          </w:p>
        </w:tc>
        <w:tc>
          <w:tcPr>
            <w:tcW w:type="dxa" w:w="1661"/>
          </w:tcPr>
          <w:p>
            <w:pPr>
              <w:pStyle w:val="null3"/>
            </w:pPr>
            <w:r>
              <w:rPr>
                <w:rFonts w:ascii="仿宋_GB2312" w:hAnsi="仿宋_GB2312" w:cs="仿宋_GB2312" w:eastAsia="仿宋_GB2312"/>
              </w:rPr>
              <w:t>相关资格证明资料.docx 开标一览表 开标一览表及分项报价表.docx 商务响应偏离表.docx 投标函 标的清单 承诺书.docx 投标文件封面 响应部分.docx 身份证明文件.docx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审，重新评审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三、评标方法和标准；</w:t>
      </w:r>
    </w:p>
    <w:p>
      <w:pPr>
        <w:pStyle w:val="null3"/>
        <w:ind w:firstLine="480"/>
      </w:pPr>
      <w:r>
        <w:rPr>
          <w:rFonts w:ascii="仿宋_GB2312" w:hAnsi="仿宋_GB2312" w:cs="仿宋_GB2312" w:eastAsia="仿宋_GB2312"/>
        </w:rPr>
        <w:t>四、开标记录和评标情况及说明，包括投标无效投标人名单及原因；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六、其他需要说明的情况，包括评标过程中投标人根据评标委员会要求进行的澄清、说明或者更正，评标委员会成员的更换等；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 xml:space="preserve"> （综合评分法适用）采用综合评分法的，由评标委员会各成员对通过资格检查和符合性审查的投标人的投标文件进行独立评审。</w:t>
      </w:r>
    </w:p>
    <w:p>
      <w:pPr>
        <w:pStyle w:val="null3"/>
        <w:ind w:firstLine="480"/>
      </w:pPr>
      <w:r>
        <w:rPr>
          <w:rFonts w:ascii="仿宋_GB2312" w:hAnsi="仿宋_GB2312" w:cs="仿宋_GB2312" w:eastAsia="仿宋_GB2312"/>
        </w:rPr>
        <w:t>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技术方案</w:t>
            </w:r>
          </w:p>
        </w:tc>
        <w:tc>
          <w:tcPr>
            <w:tcW w:type="dxa" w:w="2492"/>
          </w:tcPr>
          <w:p>
            <w:pPr>
              <w:pStyle w:val="null3"/>
            </w:pPr>
            <w:r>
              <w:rPr>
                <w:rFonts w:ascii="仿宋_GB2312" w:hAnsi="仿宋_GB2312" w:cs="仿宋_GB2312" w:eastAsia="仿宋_GB2312"/>
              </w:rPr>
              <w:t>一、评审内容 针对本项目采购内容提出适用于本项目的技术方案，技术方案包括：①系统总体设计方案，软硬件组合配置情况；②业务现状分析；③系统设计原则及系统设计思想；④系统安全性、稳定性保障； 二、评审标准 1、完整性：方案必须全面，对评审内容中的各项要求有详细描述； 2、可实施性：切合本项目实际情况，提出步骤清晰、合理的方案； 3、针对性：方案能够紧扣项目实际情况，内容科学合理。 三、赋分标准 ①系统总体设计方案，软硬件组合配置情况：每完全满足一个评审标准得1分，满分3分； ②业务现状分析：每完全满足一个评审标准得1分，满分3分； ③系统设计原则及系统设计思想：每完全满足一个评审标准得1分，满分3分； ④系统安全性、稳定性保障：每完全满足一个评审标准得1分，满分3分；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响应部分.docx</w:t>
            </w:r>
          </w:p>
        </w:tc>
      </w:tr>
      <w:tr>
        <w:tc>
          <w:tcPr>
            <w:tcW w:type="dxa" w:w="831"/>
            <w:vMerge/>
          </w:tcPr>
          <w:p/>
        </w:tc>
        <w:tc>
          <w:tcPr>
            <w:tcW w:type="dxa" w:w="1661"/>
          </w:tcPr>
          <w:p>
            <w:pPr>
              <w:pStyle w:val="null3"/>
            </w:pPr>
            <w:r>
              <w:rPr>
                <w:rFonts w:ascii="仿宋_GB2312" w:hAnsi="仿宋_GB2312" w:cs="仿宋_GB2312" w:eastAsia="仿宋_GB2312"/>
              </w:rPr>
              <w:t>保障措施及培训方案</w:t>
            </w:r>
          </w:p>
        </w:tc>
        <w:tc>
          <w:tcPr>
            <w:tcW w:type="dxa" w:w="2492"/>
          </w:tcPr>
          <w:p>
            <w:pPr>
              <w:pStyle w:val="null3"/>
            </w:pPr>
            <w:r>
              <w:rPr>
                <w:rFonts w:ascii="仿宋_GB2312" w:hAnsi="仿宋_GB2312" w:cs="仿宋_GB2312" w:eastAsia="仿宋_GB2312"/>
              </w:rPr>
              <w:t>一、评审内容 针对本项目提供保障措施及培训方案，内容包含①项目进度保障措施；②软件功能质量保障措施；③售后服务保障措施（措施内容不限于：障解决方案、响应及解决处理时限（质保期内需提供7×24小时驻场服务，驻场人员要求不少于2人（至少配备1名硬件工程师及1名软件工程师））、技术支持人员安排情况等内容）；④培训方案 二、评审标准 1、完整性：方案须全面，对评审内容中的各项要求有详细描述及说明 2、针对性：方案能够紧扣项目实际情况，内容科学合理 三、赋分标准 ①项目进度保障措施：每完全满足一项评审标准得1分，满分2分； ②软件功能质量保障措施：每完全满足一项评审标准得1分，满分2分； ③售后服务保障措施（措施内容不限于：障解决方案、响应及解决处理时限（质保期内需提供7×24小时驻场服务，驻场人员要求不少于2人（至少配备1名硬件工程师及1名软件工程师））、技术支持人员安排情况等内容）：每完全满足一项评审标准得1分，满分2分； ④培训方案：每完全满足一个评审标准得1分，满分2分；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响应部分.docx</w:t>
            </w:r>
          </w:p>
        </w:tc>
      </w:tr>
      <w:tr>
        <w:tc>
          <w:tcPr>
            <w:tcW w:type="dxa" w:w="831"/>
            <w:vMerge/>
          </w:tcPr>
          <w:p/>
        </w:tc>
        <w:tc>
          <w:tcPr>
            <w:tcW w:type="dxa" w:w="1661"/>
          </w:tcPr>
          <w:p>
            <w:pPr>
              <w:pStyle w:val="null3"/>
            </w:pPr>
            <w:r>
              <w:rPr>
                <w:rFonts w:ascii="仿宋_GB2312" w:hAnsi="仿宋_GB2312" w:cs="仿宋_GB2312" w:eastAsia="仿宋_GB2312"/>
              </w:rPr>
              <w:t>拟投入本项目人员</w:t>
            </w:r>
          </w:p>
        </w:tc>
        <w:tc>
          <w:tcPr>
            <w:tcW w:type="dxa" w:w="2492"/>
          </w:tcPr>
          <w:p>
            <w:pPr>
              <w:pStyle w:val="null3"/>
            </w:pPr>
            <w:r>
              <w:rPr>
                <w:rFonts w:ascii="仿宋_GB2312" w:hAnsi="仿宋_GB2312" w:cs="仿宋_GB2312" w:eastAsia="仿宋_GB2312"/>
              </w:rPr>
              <w:t>评审内容：根据本项目拟投入的人员进行评审，内容包括：①、人员数量、结构；②、人员专业、工作经验； 评审标准：1、完整性：方案必须全面，对评审内容中的各项要求有详细描述；2、可实施性：切合本项目实际情况，提出步骤清晰、合理的方案；3、针对性：方案能够紧扣项目实际情况，内容科学合理。 （注：拟投入本项目团队人员须为供应商单位在职人员并提供相关证明材料） 三、赋分标准 ①、人员数量、结构：每完全满足一个评审标准得1分，满分3分； ②、人员专业、工作经验:每完全满足一个评审标准得1分，满分3分；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响应部分.docx</w:t>
            </w:r>
          </w:p>
        </w:tc>
      </w:tr>
      <w:tr>
        <w:tc>
          <w:tcPr>
            <w:tcW w:type="dxa" w:w="831"/>
            <w:vMerge/>
          </w:tcPr>
          <w:p/>
        </w:tc>
        <w:tc>
          <w:tcPr>
            <w:tcW w:type="dxa" w:w="1661"/>
          </w:tcPr>
          <w:p>
            <w:pPr>
              <w:pStyle w:val="null3"/>
            </w:pPr>
            <w:r>
              <w:rPr>
                <w:rFonts w:ascii="仿宋_GB2312" w:hAnsi="仿宋_GB2312" w:cs="仿宋_GB2312" w:eastAsia="仿宋_GB2312"/>
              </w:rPr>
              <w:t>产品资质及信息安全管理体系认证证书</w:t>
            </w:r>
          </w:p>
        </w:tc>
        <w:tc>
          <w:tcPr>
            <w:tcW w:type="dxa" w:w="2492"/>
          </w:tcPr>
          <w:p>
            <w:pPr>
              <w:pStyle w:val="null3"/>
            </w:pPr>
            <w:r>
              <w:rPr>
                <w:rFonts w:ascii="仿宋_GB2312" w:hAnsi="仿宋_GB2312" w:cs="仿宋_GB2312" w:eastAsia="仿宋_GB2312"/>
              </w:rPr>
              <w:t>1、供应商具有“视频监控平台”类似相关字样软件著作权登记证书的得1分，否则不得分。 2、供应商具有“缉查布控”类似相关字样软件著作权登记证书的得1分，否则不得分。 （注：以上供应商所提供的著作权登记证书中，著作权人名称要求跟供应商名称完全一致，且著作权申请日期不能迟于招标公告日期，否则不得分） 3、供应商具有信息安全管理体系认证证书的得1分，否则不得分。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响应部分.docx</w:t>
            </w:r>
          </w:p>
        </w:tc>
      </w:tr>
      <w:tr>
        <w:tc>
          <w:tcPr>
            <w:tcW w:type="dxa" w:w="831"/>
            <w:vMerge/>
          </w:tcPr>
          <w:p/>
        </w:tc>
        <w:tc>
          <w:tcPr>
            <w:tcW w:type="dxa" w:w="1661"/>
          </w:tcPr>
          <w:p>
            <w:pPr>
              <w:pStyle w:val="null3"/>
            </w:pPr>
            <w:r>
              <w:rPr>
                <w:rFonts w:ascii="仿宋_GB2312" w:hAnsi="仿宋_GB2312" w:cs="仿宋_GB2312" w:eastAsia="仿宋_GB2312"/>
              </w:rPr>
              <w:t>同类项目业绩</w:t>
            </w:r>
          </w:p>
        </w:tc>
        <w:tc>
          <w:tcPr>
            <w:tcW w:type="dxa" w:w="2492"/>
          </w:tcPr>
          <w:p>
            <w:pPr>
              <w:pStyle w:val="null3"/>
            </w:pPr>
            <w:r>
              <w:rPr>
                <w:rFonts w:ascii="仿宋_GB2312" w:hAnsi="仿宋_GB2312" w:cs="仿宋_GB2312" w:eastAsia="仿宋_GB2312"/>
              </w:rPr>
              <w:t>提供供应商在本项目投标文件递交截止时间前三年内同类项目业绩（同类项目是指合同内容包含“人像识别服务比对”、“人像比对身份核验”等相关字样的业绩合同）（时间以签订的合同日期为准），每提供1份业绩合同得1分，满分5分。注：合同内容须清晰可辨认，否则视为无效合同。</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响应部分.docx</w:t>
            </w:r>
          </w:p>
        </w:tc>
      </w:tr>
      <w:tr>
        <w:tc>
          <w:tcPr>
            <w:tcW w:type="dxa" w:w="831"/>
            <w:vMerge/>
          </w:tcPr>
          <w:p/>
        </w:tc>
        <w:tc>
          <w:tcPr>
            <w:tcW w:type="dxa" w:w="1661"/>
          </w:tcPr>
          <w:p>
            <w:pPr>
              <w:pStyle w:val="null3"/>
            </w:pPr>
            <w:r>
              <w:rPr>
                <w:rFonts w:ascii="仿宋_GB2312" w:hAnsi="仿宋_GB2312" w:cs="仿宋_GB2312" w:eastAsia="仿宋_GB2312"/>
              </w:rPr>
              <w:t>系统演示</w:t>
            </w:r>
          </w:p>
        </w:tc>
        <w:tc>
          <w:tcPr>
            <w:tcW w:type="dxa" w:w="2492"/>
          </w:tcPr>
          <w:p>
            <w:pPr>
              <w:pStyle w:val="null3"/>
            </w:pPr>
            <w:r>
              <w:rPr>
                <w:rFonts w:ascii="仿宋_GB2312" w:hAnsi="仿宋_GB2312" w:cs="仿宋_GB2312" w:eastAsia="仿宋_GB2312"/>
              </w:rPr>
              <w:t>带有“●”号标注的条款是关键性技术要求，供应商对每一项条款进行功能演示，评委根据供应商演示的每个功能点进行评分： 1、软件平台布控预警演示：演示软件平台中布控预警功能，支持将重点人员加入名单库进行管理，并进行布控。当布控对象出现在监控区域时将产生报警提醒。提供的演示完全满足此项得2分，否则不得分； 2、软件平台基础管理模块演示：演示软件平台基础功能，包括用户管理：支持新增组织、新增/修改/删除用户、设置用户为超级管理员、新增/修改/删除角色等；应用管理：设置应用菜单；操作日志管理：系统自动记录用户的操作并生成系统日志。提供的演示完全满足此项得3分，否则不得分； 3、解析模块演示：演示对检测的人脸进行特征信息识别，完成结构化数据生成，并存入视图库。提供的演示完全满足此项得2分，否则不得分； 4、检索模块演示：演示以图搜图，通过上传目标图片，一键获取目标在时空范围内的全量抓拍数据。提供的演示完全满足此项得2分，否则不得分； 5、标准视图库功能演示：演示平台所搭建的标准视图库。提供的演示完全满足此项得2分，否则不得分； 6、异常人员档案数据演示：演示通过标准接口获取的异常人员人脸比对身份信息，其中重点身份信息为：（1）该人员姓名；（2）该人员身份证号；（3）该人员家庭住址信息；（4）该人员身份证照片；（5）该人员可能存在的异常行为人标签信息。 提供的每分项演示完全满足此项得5分，否则不得分，共计25分。 （使用软件的真实系统或者系统操作录屏视频进行各模块、功能演示，演示时间不超过15分钟/家。PPT、图片、静态页面或不演示均不得分。）</w:t>
            </w:r>
          </w:p>
        </w:tc>
        <w:tc>
          <w:tcPr>
            <w:tcW w:type="dxa" w:w="831"/>
          </w:tcPr>
          <w:p>
            <w:pPr>
              <w:pStyle w:val="null3"/>
              <w:jc w:val="right"/>
            </w:pPr>
            <w:r>
              <w:rPr>
                <w:rFonts w:ascii="仿宋_GB2312" w:hAnsi="仿宋_GB2312" w:cs="仿宋_GB2312" w:eastAsia="仿宋_GB2312"/>
              </w:rPr>
              <w:t>36.0000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响应部分.docx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各有效供应商的评审价中，取最低的供应商的价格作为基准价。每个有效供应商的价格评分统一按照下列公式计算： 价格评分＝（基准价/评审价）×30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2、评分标准中要求提供的证明材料须清晰可辨。</w:t>
      </w:r>
    </w:p>
    <w:p>
      <w:pPr>
        <w:pStyle w:val="null3"/>
        <w:ind w:firstLine="480"/>
      </w:pPr>
      <w:r>
        <w:rPr>
          <w:rFonts w:ascii="仿宋_GB2312" w:hAnsi="仿宋_GB2312" w:cs="仿宋_GB2312" w:eastAsia="仿宋_GB2312"/>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（二）评标前，应当将通讯工具或者相关电子设备交由采购组织单位统一保管。</w:t>
      </w:r>
    </w:p>
    <w:p>
      <w:pPr>
        <w:pStyle w:val="null3"/>
        <w:ind w:firstLine="480"/>
      </w:pPr>
      <w:r>
        <w:rPr>
          <w:rFonts w:ascii="仿宋_GB2312" w:hAnsi="仿宋_GB2312" w:cs="仿宋_GB2312" w:eastAsia="仿宋_GB2312"/>
        </w:rPr>
        <w:t>（三）评标过程中，不得与外界联系，因发生不可预见情况，确实需要与外界联系的，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第6章投标文件格式</w:t>
      </w:r>
    </w:p>
    <w:p>
      <w:pPr>
        <w:pStyle w:val="null3"/>
        <w:outlineLvl w:val="2"/>
      </w:pPr>
      <w:r>
        <w:rPr>
          <w:rFonts w:ascii="仿宋_GB2312" w:hAnsi="仿宋_GB2312" w:cs="仿宋_GB2312" w:eastAsia="仿宋_GB2312"/>
          <w:sz w:val="28"/>
          <w:b/>
        </w:rPr>
        <w:t>6.1投标文件封面格式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详见附件：承诺书.docx</w:t>
      </w:r>
    </w:p>
    <w:p>
      <w:pPr>
        <w:pStyle w:val="null3"/>
        <w:ind w:firstLine="960"/>
      </w:pPr>
      <w:r>
        <w:rPr>
          <w:rFonts w:ascii="仿宋_GB2312" w:hAnsi="仿宋_GB2312" w:cs="仿宋_GB2312" w:eastAsia="仿宋_GB2312"/>
        </w:rPr>
        <w:t>详见附件：开标一览表及分项报价表.docx</w:t>
      </w:r>
    </w:p>
    <w:p>
      <w:pPr>
        <w:pStyle w:val="null3"/>
        <w:ind w:firstLine="960"/>
      </w:pPr>
      <w:r>
        <w:rPr>
          <w:rFonts w:ascii="仿宋_GB2312" w:hAnsi="仿宋_GB2312" w:cs="仿宋_GB2312" w:eastAsia="仿宋_GB2312"/>
        </w:rPr>
        <w:t>详见附件：商务响应偏离表.docx</w:t>
      </w:r>
    </w:p>
    <w:p>
      <w:pPr>
        <w:pStyle w:val="null3"/>
        <w:ind w:firstLine="960"/>
      </w:pPr>
      <w:r>
        <w:rPr>
          <w:rFonts w:ascii="仿宋_GB2312" w:hAnsi="仿宋_GB2312" w:cs="仿宋_GB2312" w:eastAsia="仿宋_GB2312"/>
        </w:rPr>
        <w:t>详见附件：身份证明文件.docx</w:t>
      </w:r>
    </w:p>
    <w:p>
      <w:pPr>
        <w:pStyle w:val="null3"/>
        <w:ind w:firstLine="960"/>
      </w:pPr>
      <w:r>
        <w:rPr>
          <w:rFonts w:ascii="仿宋_GB2312" w:hAnsi="仿宋_GB2312" w:cs="仿宋_GB2312" w:eastAsia="仿宋_GB2312"/>
        </w:rPr>
        <w:t>详见附件：相关资格证明资料.docx</w:t>
      </w:r>
    </w:p>
    <w:p>
      <w:pPr>
        <w:pStyle w:val="null3"/>
        <w:ind w:firstLine="960"/>
      </w:pPr>
      <w:r>
        <w:rPr>
          <w:rFonts w:ascii="仿宋_GB2312" w:hAnsi="仿宋_GB2312" w:cs="仿宋_GB2312" w:eastAsia="仿宋_GB2312"/>
        </w:rPr>
        <w:t>详见附件：响应部分.docx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第7章 拟签订采购合同文本</w:t>
      </w:r>
    </w:p>
    <w:p>
      <w:pPr>
        <w:pStyle w:val="null3"/>
      </w:pPr>
      <w:r>
        <w:rPr>
          <w:rFonts w:ascii="仿宋_GB2312" w:hAnsi="仿宋_GB2312" w:cs="仿宋_GB2312" w:eastAsia="仿宋_GB2312"/>
        </w:rPr>
        <w:t>详见附件：政府采购合同格式.docx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