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版本号：RH招字【20250624】号20250630001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食堂管理服务采购项目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RH招字【20250624】号</w:t>
      </w:r>
      <w:r>
        <w:br/>
      </w:r>
      <w:r>
        <w:br/>
      </w:r>
      <w:r>
        <w:br/>
      </w:r>
    </w:p>
    <w:p>
      <w:pPr>
        <w:pStyle w:val="null3"/>
        <w:jc w:val="center"/>
        <w:outlineLvl w:val="2"/>
      </w:pPr>
      <w:r>
        <w:rPr>
          <w:rFonts w:ascii="仿宋_GB2312" w:hAnsi="仿宋_GB2312" w:cs="仿宋_GB2312" w:eastAsia="仿宋_GB2312"/>
          <w:sz w:val="28"/>
          <w:b/>
        </w:rPr>
        <w:t>西安市碑林区人民法院[154]</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西安市碑林区人民法院[154]</w:t>
      </w:r>
      <w:r>
        <w:rPr>
          <w:rFonts w:ascii="仿宋_GB2312" w:hAnsi="仿宋_GB2312" w:cs="仿宋_GB2312" w:eastAsia="仿宋_GB2312"/>
        </w:rPr>
        <w:t>委托，拟对</w:t>
      </w:r>
      <w:r>
        <w:rPr>
          <w:rFonts w:ascii="仿宋_GB2312" w:hAnsi="仿宋_GB2312" w:cs="仿宋_GB2312" w:eastAsia="仿宋_GB2312"/>
        </w:rPr>
        <w:t>食堂管理服务采购项目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RH招字【20250624】号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食堂管理服务采购项目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西安市碑林区人民法院日常就餐人员约220人。中标供应商负责以分餐制的形式供应早、午餐、桌饭形式的会议餐、公务接待餐及其他临时用餐。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2023年或2024年财务审计报告（成立时间至开标时间不足一年的可提供成立后任意时段的资产负债表）；②提供基本存款账户信息及开标日期前三个月内其基本存款账户开户银行出具的资信证明；③财政部门认可的政府采购专业担保机构出具的投标担保函；（依法不需要提供财务状况的投标人应提供相关证明）</w:t>
      </w:r>
    </w:p>
    <w:p>
      <w:pPr>
        <w:pStyle w:val="null3"/>
      </w:pPr>
      <w:r>
        <w:rPr>
          <w:rFonts w:ascii="仿宋_GB2312" w:hAnsi="仿宋_GB2312" w:cs="仿宋_GB2312" w:eastAsia="仿宋_GB2312"/>
        </w:rPr>
        <w:t>3、税收缴纳证明：提供投标文件提交截止时间一年内至少一个月的纳税证明或完税证明；</w:t>
      </w:r>
    </w:p>
    <w:p>
      <w:pPr>
        <w:pStyle w:val="null3"/>
      </w:pPr>
      <w:r>
        <w:rPr>
          <w:rFonts w:ascii="仿宋_GB2312" w:hAnsi="仿宋_GB2312" w:cs="仿宋_GB2312" w:eastAsia="仿宋_GB2312"/>
        </w:rPr>
        <w:t>4、社保资金缴纳证明：提供投标文件提交截止时间一年内至少一个月的社会保障资金缴存单据或社保机构开具的社会保险参保缴费情况证明；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西安市碑林区人民法院[154]</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西安市碑林区太白北路6号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崔姜涛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029-84500828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刘菲、刘轩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采购包1：1,030,700.00元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代理服务费收费标准：参考《招标代理服务收费管理暂行办法》（计价格[2002]1980号）文件计取。 代理服务费缴纳及账户信息：（转账汇款时请注明“RH采字【2025****】号”）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西安市碑林区人民法院[154]</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西安市碑林区人民法院[154]</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西安市碑林区人民法院[154]</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地址：陕西省西安市曲江新区雁翔路3269号旺座曲江旺座D座30层3001号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西安市碑林区人民法院日常就餐人员约220人。中标供应商负责以分餐制的形式供应早、午餐、桌饭形式的会议餐、公务接待餐及其他临时用餐。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1,030,700.00</w:t>
      </w:r>
    </w:p>
    <w:p>
      <w:pPr>
        <w:pStyle w:val="null3"/>
      </w:pPr>
      <w:r>
        <w:rPr>
          <w:rFonts w:ascii="仿宋_GB2312" w:hAnsi="仿宋_GB2312" w:cs="仿宋_GB2312" w:eastAsia="仿宋_GB2312"/>
        </w:rPr>
        <w:t>采购包最高限价（元）: 1,030,700.00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1,030,700.00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采购需求</w:t>
            </w:r>
          </w:p>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西安市碑林区人民法院日常就餐人员约220人。中标供应商负责以分餐制的形式供应早、午餐、桌饭形式的会议餐、公务接待餐及其他临时用餐。</w:t>
            </w:r>
          </w:p>
          <w:p>
            <w:pPr>
              <w:pStyle w:val="null3"/>
              <w:jc w:val="both"/>
            </w:pPr>
            <w:r>
              <w:rPr>
                <w:rFonts w:ascii="仿宋_GB2312" w:hAnsi="仿宋_GB2312" w:cs="仿宋_GB2312" w:eastAsia="仿宋_GB2312"/>
                <w:sz w:val="21"/>
                <w:b/>
              </w:rPr>
              <w:t>二、服务期限</w:t>
            </w:r>
          </w:p>
          <w:p>
            <w:pPr>
              <w:pStyle w:val="null3"/>
              <w:ind w:firstLine="420"/>
              <w:jc w:val="both"/>
            </w:pPr>
            <w:r>
              <w:rPr>
                <w:rFonts w:ascii="仿宋_GB2312" w:hAnsi="仿宋_GB2312" w:cs="仿宋_GB2312" w:eastAsia="仿宋_GB2312"/>
                <w:sz w:val="21"/>
              </w:rPr>
              <w:t>服务期限：1年。</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负责食堂的经营管理，具体包括人员配备，食品的采购、制作，厨房、餐厅的环境卫生等管理事项。未经采购人同意，不得擅自转包或转让他人经营。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严格执行《中华人民共和国食品安全法》，禁止供应未经卫生防疫部门检测通过的各类食品、食材和调味品。否则由此造成的一切法律责任自行承担。</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工作人员工作期间应统一着工装，并保持清洁卫生，厨房工作人员应采取相关的卫生措施，如戴口罩和卫生手套等，采购人负责监督。</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负责工作人员生产安全管理，如发生安全事故，由乙方自行协商解决，承担相应费用，并负责消除对采购人造成的不良影响。</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供应商在成交后，应在相关行业主管部门规定的期限内自行办理餐厅《食品经营许可证》。</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工作人员一律凭有效的健康证上岗。</w:t>
            </w:r>
          </w:p>
          <w:p>
            <w:pPr>
              <w:pStyle w:val="null3"/>
              <w:jc w:val="both"/>
            </w:pPr>
            <w:r>
              <w:rPr>
                <w:rFonts w:ascii="仿宋_GB2312" w:hAnsi="仿宋_GB2312" w:cs="仿宋_GB2312" w:eastAsia="仿宋_GB2312"/>
                <w:sz w:val="21"/>
                <w:b/>
              </w:rPr>
              <w:t>四、供餐标准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负责以分餐制的形式供应早、午餐和桌饭形式的会议餐、公务接待餐及其他临时用餐。根据采购人的工作餐标准，安排工作餐食谱；每周变换菜谱，经采购人审议后执行；凉热菜的比例可根据季节变化进行调整。会议餐和公务加代餐制定相应菜谱，经采购人审核同意后执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就餐时间：</w:t>
            </w:r>
          </w:p>
          <w:p>
            <w:pPr>
              <w:pStyle w:val="null3"/>
              <w:ind w:firstLine="420"/>
              <w:jc w:val="both"/>
            </w:pPr>
            <w:r>
              <w:rPr>
                <w:rFonts w:ascii="仿宋_GB2312" w:hAnsi="仿宋_GB2312" w:cs="仿宋_GB2312" w:eastAsia="仿宋_GB2312"/>
                <w:sz w:val="21"/>
              </w:rPr>
              <w:t>周一至周五</w:t>
            </w:r>
          </w:p>
          <w:p>
            <w:pPr>
              <w:pStyle w:val="null3"/>
              <w:ind w:firstLine="420"/>
              <w:jc w:val="both"/>
            </w:pPr>
            <w:r>
              <w:rPr>
                <w:rFonts w:ascii="仿宋_GB2312" w:hAnsi="仿宋_GB2312" w:cs="仿宋_GB2312" w:eastAsia="仿宋_GB2312"/>
                <w:sz w:val="21"/>
              </w:rPr>
              <w:t>早餐：7：30-8：40</w:t>
            </w:r>
          </w:p>
          <w:p>
            <w:pPr>
              <w:pStyle w:val="null3"/>
              <w:ind w:firstLine="420"/>
              <w:jc w:val="both"/>
            </w:pPr>
            <w:r>
              <w:rPr>
                <w:rFonts w:ascii="仿宋_GB2312" w:hAnsi="仿宋_GB2312" w:cs="仿宋_GB2312" w:eastAsia="仿宋_GB2312"/>
                <w:sz w:val="21"/>
              </w:rPr>
              <w:t>午餐：12：00-13：00</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餐费由预算及个人支付两部分组成，其中：</w:t>
            </w:r>
          </w:p>
          <w:p>
            <w:pPr>
              <w:pStyle w:val="null3"/>
              <w:ind w:firstLine="420"/>
              <w:jc w:val="both"/>
            </w:pPr>
            <w:r>
              <w:rPr>
                <w:rFonts w:ascii="仿宋_GB2312" w:hAnsi="仿宋_GB2312" w:cs="仿宋_GB2312" w:eastAsia="仿宋_GB2312"/>
                <w:sz w:val="21"/>
              </w:rPr>
              <w:t>早餐：预算餐费6元，个人单独支付餐2元；</w:t>
            </w:r>
          </w:p>
          <w:p>
            <w:pPr>
              <w:pStyle w:val="null3"/>
              <w:ind w:firstLine="420"/>
              <w:jc w:val="both"/>
            </w:pPr>
            <w:r>
              <w:rPr>
                <w:rFonts w:ascii="仿宋_GB2312" w:hAnsi="仿宋_GB2312" w:cs="仿宋_GB2312" w:eastAsia="仿宋_GB2312"/>
                <w:sz w:val="21"/>
              </w:rPr>
              <w:t>午餐：预算餐费10元，个人单独支付餐4元。</w:t>
            </w:r>
          </w:p>
          <w:p>
            <w:pPr>
              <w:pStyle w:val="null3"/>
              <w:ind w:firstLine="420"/>
              <w:jc w:val="both"/>
            </w:pPr>
            <w:r>
              <w:rPr>
                <w:rFonts w:ascii="仿宋_GB2312" w:hAnsi="仿宋_GB2312" w:cs="仿宋_GB2312" w:eastAsia="仿宋_GB2312"/>
                <w:sz w:val="21"/>
              </w:rPr>
              <w:t>预算餐费应包含在投标报价中。</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早餐种类：</w:t>
            </w:r>
          </w:p>
          <w:p>
            <w:pPr>
              <w:pStyle w:val="null3"/>
              <w:ind w:firstLine="420"/>
              <w:jc w:val="both"/>
            </w:pPr>
            <w:r>
              <w:rPr>
                <w:rFonts w:ascii="仿宋_GB2312" w:hAnsi="仿宋_GB2312" w:cs="仿宋_GB2312" w:eastAsia="仿宋_GB2312"/>
                <w:sz w:val="21"/>
              </w:rPr>
              <w:t>早餐配粥类、面点类、鸡蛋、奶制品及4种以上小菜（凉热菜的比例可根据季节变化进行调整）。按照：“五谷搭配，粗细搭配，荤素搭配，多样搭配”的基本原则，尽可能使营养餐达到营养合理，平衡膳食的要求。</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午餐种类：</w:t>
            </w:r>
          </w:p>
          <w:p>
            <w:pPr>
              <w:pStyle w:val="null3"/>
              <w:ind w:firstLine="420"/>
              <w:jc w:val="both"/>
            </w:pPr>
            <w:r>
              <w:rPr>
                <w:rFonts w:ascii="仿宋_GB2312" w:hAnsi="仿宋_GB2312" w:cs="仿宋_GB2312" w:eastAsia="仿宋_GB2312"/>
                <w:sz w:val="21"/>
              </w:rPr>
              <w:t>午餐食品应包含蔬菜类、大豆及豆制品类、鱼肉禽蛋类（比重为65%、10%、25%左右），以2荤2素配面食或米饭为宜，要重视菜谱色、香、味、形、质的合理搭配。</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接待餐：</w:t>
            </w:r>
          </w:p>
          <w:p>
            <w:pPr>
              <w:pStyle w:val="null3"/>
              <w:ind w:firstLine="420"/>
              <w:jc w:val="both"/>
            </w:pPr>
            <w:r>
              <w:rPr>
                <w:rFonts w:ascii="仿宋_GB2312" w:hAnsi="仿宋_GB2312" w:cs="仿宋_GB2312" w:eastAsia="仿宋_GB2312"/>
                <w:sz w:val="21"/>
              </w:rPr>
              <w:t>按采购人实际通知时间为准。</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原材料供应</w:t>
            </w:r>
          </w:p>
          <w:p>
            <w:pPr>
              <w:pStyle w:val="null3"/>
              <w:ind w:firstLine="420"/>
              <w:jc w:val="both"/>
            </w:pPr>
            <w:r>
              <w:rPr>
                <w:rFonts w:ascii="仿宋_GB2312" w:hAnsi="仿宋_GB2312" w:cs="仿宋_GB2312" w:eastAsia="仿宋_GB2312"/>
                <w:sz w:val="21"/>
              </w:rPr>
              <w:t>大宗食料（米、面、油）不低于一级或由双方共同选定品牌，其他原材料由经营单位索证并保存，以备采购人及相关单位检查。</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、其它要求：</w:t>
            </w:r>
          </w:p>
          <w:p>
            <w:pPr>
              <w:pStyle w:val="null3"/>
              <w:ind w:firstLine="420"/>
              <w:jc w:val="both"/>
            </w:pPr>
            <w:r>
              <w:rPr>
                <w:rFonts w:ascii="仿宋_GB2312" w:hAnsi="仿宋_GB2312" w:cs="仿宋_GB2312" w:eastAsia="仿宋_GB2312"/>
                <w:sz w:val="21"/>
              </w:rPr>
              <w:t>8.1</w:t>
            </w:r>
            <w:r>
              <w:rPr>
                <w:rFonts w:ascii="仿宋_GB2312" w:hAnsi="仿宋_GB2312" w:cs="仿宋_GB2312" w:eastAsia="仿宋_GB2312"/>
                <w:sz w:val="21"/>
              </w:rPr>
              <w:t>按照市场监管总局修订并于2018年10月1日起施行的《餐饮服务食品安全操作规范》中“食品留样”相关要求，每餐做好食品留样保存。</w:t>
            </w:r>
          </w:p>
          <w:p>
            <w:pPr>
              <w:pStyle w:val="null3"/>
              <w:ind w:firstLine="420"/>
              <w:jc w:val="both"/>
            </w:pPr>
            <w:r>
              <w:rPr>
                <w:rFonts w:ascii="仿宋_GB2312" w:hAnsi="仿宋_GB2312" w:cs="仿宋_GB2312" w:eastAsia="仿宋_GB2312"/>
                <w:sz w:val="21"/>
              </w:rPr>
              <w:t>8.2</w:t>
            </w:r>
            <w:r>
              <w:rPr>
                <w:rFonts w:ascii="仿宋_GB2312" w:hAnsi="仿宋_GB2312" w:cs="仿宋_GB2312" w:eastAsia="仿宋_GB2312"/>
                <w:sz w:val="21"/>
              </w:rPr>
              <w:t>根据菜肴的特点和成菜要求，合理配菜、搭配营养，符合色、形、质、养、器的配菜原则，准确调味并选用正确的烹调方法合理烹调，使之成熟度达到规定的质量要求。不使用隔夜菜肴和半成品材料。</w:t>
            </w:r>
          </w:p>
          <w:p>
            <w:pPr>
              <w:pStyle w:val="null3"/>
              <w:ind w:firstLine="420"/>
              <w:jc w:val="both"/>
            </w:pPr>
            <w:r>
              <w:rPr>
                <w:rFonts w:ascii="仿宋_GB2312" w:hAnsi="仿宋_GB2312" w:cs="仿宋_GB2312" w:eastAsia="仿宋_GB2312"/>
                <w:sz w:val="21"/>
              </w:rPr>
              <w:t>8.3</w:t>
            </w:r>
            <w:r>
              <w:rPr>
                <w:rFonts w:ascii="仿宋_GB2312" w:hAnsi="仿宋_GB2312" w:cs="仿宋_GB2312" w:eastAsia="仿宋_GB2312"/>
                <w:sz w:val="21"/>
              </w:rPr>
              <w:t>菜肴的荤素搭配合理，每周菜品重复率不高于10%。</w:t>
            </w:r>
          </w:p>
          <w:p>
            <w:pPr>
              <w:pStyle w:val="null3"/>
              <w:ind w:firstLine="420"/>
              <w:jc w:val="both"/>
            </w:pPr>
            <w:r>
              <w:rPr>
                <w:rFonts w:ascii="仿宋_GB2312" w:hAnsi="仿宋_GB2312" w:cs="仿宋_GB2312" w:eastAsia="仿宋_GB2312"/>
                <w:sz w:val="21"/>
              </w:rPr>
              <w:t>8.4</w:t>
            </w:r>
            <w:r>
              <w:rPr>
                <w:rFonts w:ascii="仿宋_GB2312" w:hAnsi="仿宋_GB2312" w:cs="仿宋_GB2312" w:eastAsia="仿宋_GB2312"/>
                <w:sz w:val="21"/>
              </w:rPr>
              <w:t>丰富菜肴品种；根据季节变化及时调整菜肴品种更换菜肴的口味；高温季节食堂需制作防暑降温的绿豆汤。</w:t>
            </w:r>
          </w:p>
          <w:p>
            <w:pPr>
              <w:pStyle w:val="null3"/>
              <w:ind w:firstLine="420"/>
              <w:jc w:val="both"/>
            </w:pPr>
            <w:r>
              <w:rPr>
                <w:rFonts w:ascii="仿宋_GB2312" w:hAnsi="仿宋_GB2312" w:cs="仿宋_GB2312" w:eastAsia="仿宋_GB2312"/>
                <w:sz w:val="21"/>
              </w:rPr>
              <w:t>8.5</w:t>
            </w:r>
            <w:r>
              <w:rPr>
                <w:rFonts w:ascii="仿宋_GB2312" w:hAnsi="仿宋_GB2312" w:cs="仿宋_GB2312" w:eastAsia="仿宋_GB2312"/>
                <w:sz w:val="21"/>
              </w:rPr>
              <w:t>应具备按时、按需、按质的反应能力，在特殊情况下保证及时供应一定数量的加餐服务。</w:t>
            </w:r>
          </w:p>
          <w:p>
            <w:pPr>
              <w:pStyle w:val="null3"/>
              <w:jc w:val="both"/>
            </w:pPr>
            <w:r>
              <w:rPr>
                <w:rFonts w:ascii="仿宋_GB2312" w:hAnsi="仿宋_GB2312" w:cs="仿宋_GB2312" w:eastAsia="仿宋_GB2312"/>
                <w:sz w:val="21"/>
                <w:b/>
              </w:rPr>
              <w:t>五、岗位人员要求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从业人员必须持有有效身份证、健康证及相关证件，年龄范围在18周岁至60周岁之间。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职责范围</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建立安全生产制度，如何与采购人沟通及处理相关部门之间的关系，建立重大事件报告制，组织职工对食堂满意度测评及反馈。</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食堂负责人必须常驻现场负责现场管理。</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按照《劳动法》的规定聘请和管理员工，承担员工的工资、保险、服装、福利等报酬。</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应该接受相关部门的监督、指导、检查和考核。</w:t>
            </w:r>
          </w:p>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负责供应职工餐，食堂日常管理，设备维护，食品卫生等。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配置人员</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中标供应商应承担所有配置人员的工资、保险、服装、福利等报酬及住宿等费用（注：不少于一年）。</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配置人员至少包括：总厨1名、凉菜厨师1名、炒菜厨师1名、面点厨师2名、砧板厨师1名、前厅服务人员1名、餐厅服务人员2名、洗碗人员2名。供应商可根据自身服务方案，增加相应人员。</w:t>
            </w:r>
          </w:p>
          <w:p>
            <w:pPr>
              <w:pStyle w:val="null3"/>
              <w:jc w:val="both"/>
            </w:pPr>
            <w:r>
              <w:rPr>
                <w:rFonts w:ascii="仿宋_GB2312" w:hAnsi="仿宋_GB2312" w:cs="仿宋_GB2312" w:eastAsia="仿宋_GB2312"/>
                <w:sz w:val="21"/>
                <w:b/>
              </w:rPr>
              <w:t>六、管理要求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食品卫生及安全必须严格执行《中华人民共和国食品安全法》，《餐饮业和集体用餐配送单位卫生规范》，《中华人民共和国消防法》，《中华人民共和国安全生产法》等各项国家及地方的法规。</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环境卫生必须保证经营场所（包括操作区和就餐区）环境整洁，并接受采购人及本地区卫生监督部门检查考核，如发生食物中毒事件必须及时整顿整改并接受处罚。</w:t>
            </w:r>
          </w:p>
          <w:p>
            <w:pPr>
              <w:pStyle w:val="null3"/>
              <w:jc w:val="both"/>
            </w:pPr>
            <w:r>
              <w:rPr>
                <w:rFonts w:ascii="仿宋_GB2312" w:hAnsi="仿宋_GB2312" w:cs="仿宋_GB2312" w:eastAsia="仿宋_GB2312"/>
                <w:sz w:val="21"/>
                <w:b/>
              </w:rPr>
              <w:t>七、服务要求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中标供应商对采购人的餐食供应及就餐秩序按照采购人要求实施全过程服务，采购人仅提供必要协助。</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供应商应严格遵守《中华人民共和国食品安全法》等国家及所在采购人单位的相关管理规定。服务期间未经采购人书面许可，中标供应商不得随意停止营业或不正常营业，由此造成的损失由中标供应商全部承担。中标供应商应树立热情服务的观念，切实做到膳食营养合理搭配、干净卫生、优质服务，足量供应，保证就餐人员吃饱吃好，对所提供的食品安全负全责。</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中标供应商在服务期间应合法经营，不得违反采购人的规章制度，不得从事有损于采购人利益和声誉的活动。从业人员持有效健康证和相关职业资格证上岗。</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中标供应商根据采购人就餐人员每天的营养摄入量，提前一周设定出食谱。</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采购人如遇有重大外出活动，需中标供应商保障在外就餐，提前告知中标供应商就餐人数及就餐标准，每人提供足分量饭1份。</w:t>
            </w:r>
          </w:p>
          <w:p>
            <w:pPr>
              <w:pStyle w:val="null3"/>
            </w:pPr>
            <w:r>
              <w:rPr>
                <w:rFonts w:ascii="仿宋_GB2312" w:hAnsi="仿宋_GB2312" w:cs="仿宋_GB2312" w:eastAsia="仿宋_GB2312"/>
                <w:sz w:val="21"/>
              </w:rPr>
              <w:t xml:space="preserve">  6</w:t>
            </w:r>
            <w:r>
              <w:rPr>
                <w:rFonts w:ascii="仿宋_GB2312" w:hAnsi="仿宋_GB2312" w:cs="仿宋_GB2312" w:eastAsia="仿宋_GB2312"/>
                <w:sz w:val="21"/>
              </w:rPr>
              <w:t>、中标供应商根据本合同的规定向采购人收取相关服务费用，并有权在本项目范围内管理及合理使用。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满足采购需求及招标人要求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满足采购需求及招标人要求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因招标人系国家审判机关，所有的付款均需财政部门审批，付款期间，非因招标人故意拖延付款申请流程造成的逾期付款的，承包方对此予以谅解不得追究招标人的逾期付款责任。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西安市碑林区人民法院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详见甲乙双方签订合同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按季度支付合同价款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按季度支付合同价款，（支付金额按第一个季度考核得分情况计算）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按季度支付合同价款，（支付金额按第二个季度考核得分情况计算）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按季度支付合同价款，（支付金额按第三个季度考核得分情况计算）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2.未按合同要求提供服务质量不能满足技术要求，招标人有权终止合同，并对中标供应商违约行为进行追究，同时按《中华人民共和国政府采购法》的有关规定进行处罚。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3.5.2为顺利推进政府采购电子化交易平台应用工作，投标人需要在线提交所有通过电子化交易平台实施的政府采购项目的投标文件，中标供应商在领取中标通知书时需提供纸质投标文件叁套。纸质投标文件应通过专用制作软件直接打印，确保与项目电子化交易系统中的电子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2023年或2024年财务审计报告（成立时间至开标时间不足一年的可提供成立后任意时段的资产负债表）；②提供基本存款账户信息及开标日期前三个月内其基本存款账户开户银行出具的资信证明；③财政部门认可的政府采购专业担保机构出具的投标担保函；（依法不需要提供财务状况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提供投标文件提交截止时间一年内至少一个月的纳税证明或完税证明；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提供投标文件提交截止时间一年内至少一个月的社会保障资金缴存单据或社保机构开具的社会保险参保缴费情况证明；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投标的，须出具法定代表人（负责人）身份证明书及身份证正反两面扫描件或护照资料页扫描件；法定代表人（负责人）授权委托代理人参加投标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至少以下三处的项目名称、项目编号、合同包（若有）与本项目完全一致：（1）投标文件封面 （2）投标函 （3）法定代表人身份证明书/授权委托书</w:t>
            </w:r>
          </w:p>
        </w:tc>
        <w:tc>
          <w:tcPr>
            <w:tcW w:type="dxa" w:w="1661"/>
          </w:tcPr>
          <w:p>
            <w:pPr>
              <w:pStyle w:val="null3"/>
            </w:pPr>
            <w:r>
              <w:rPr>
                <w:rFonts w:ascii="仿宋_GB2312" w:hAnsi="仿宋_GB2312" w:cs="仿宋_GB2312" w:eastAsia="仿宋_GB2312"/>
              </w:rPr>
              <w:t>法定代表人身份证明书及授权委托书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完全理解并响应招标文件合同及其它条款的要求，且未含有招标人不能接受的附加条件的。</w:t>
            </w:r>
          </w:p>
        </w:tc>
        <w:tc>
          <w:tcPr>
            <w:tcW w:type="dxa" w:w="1661"/>
          </w:tcPr>
          <w:p>
            <w:pPr>
              <w:pStyle w:val="null3"/>
            </w:pPr>
            <w:r>
              <w:rPr>
                <w:rFonts w:ascii="仿宋_GB2312" w:hAnsi="仿宋_GB2312" w:cs="仿宋_GB2312" w:eastAsia="仿宋_GB2312"/>
              </w:rPr>
              <w:t>商务应答表 服务方案 服务内容及服务要求应答表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根据本项目需求编制服务方案，包括以下3项内容：①管理方案；②服务定位；③营运方案。 二、评审标准 完整性：方案须全面，对评审内容中的各项要求有详细描述及说明； 可实施性：切合本项目实际情况，实施步骤清晰、合理； 针对性：方案能够紧扣项目实际情况，内容科学合理。 三、赋分标准 1、供应商制定的服务方案对项目要求理解准确，内容齐全、结构完整、表述准确、条理清晰得9.0分，评审内容每缺失一项，扣3.0分。 2、根据评审标准对供应商实施方案进行评审，每项评审内容有一处存在缺陷的扣1.0分。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服务质量控制措施方案</w:t>
            </w:r>
          </w:p>
        </w:tc>
        <w:tc>
          <w:tcPr>
            <w:tcW w:type="dxa" w:w="2492"/>
          </w:tcPr>
          <w:p>
            <w:pPr>
              <w:pStyle w:val="null3"/>
            </w:pPr>
            <w:r>
              <w:rPr>
                <w:rFonts w:ascii="仿宋_GB2312" w:hAnsi="仿宋_GB2312" w:cs="仿宋_GB2312" w:eastAsia="仿宋_GB2312"/>
              </w:rPr>
              <w:t>一、评审内容 根据本项目需求编制服务质量控制措施方案，包括以下6项内容：①食品卫生控制措施；②人员卫生管控措施；③环境卫生控制措施；④成本管控措施；⑤设施设备管理措施；⑥节能管理措施； 二、评审标准 完整性：方案须全面，对评审内容中的各项要求有详细描述及说明； 可实施性：切合本项目实际情况，实施步骤清晰、合理； 针对性：方案能够紧扣项目实际情况，内容科学合理。 三、赋分标准 1、供应商制定的服务质量控制措施方案对项目要求理解准确，内容齐全、结构完整、表述准确、条理清晰得18.0分，评审内容每缺失一项，扣3.0分。 2、根据评审标准对供应商整体质量保证措施方案进行评审，每项评审内容有一处存在缺陷的扣1.0分。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原材料供应管理、食品保存管理方案</w:t>
            </w:r>
          </w:p>
        </w:tc>
        <w:tc>
          <w:tcPr>
            <w:tcW w:type="dxa" w:w="2492"/>
          </w:tcPr>
          <w:p>
            <w:pPr>
              <w:pStyle w:val="null3"/>
            </w:pPr>
            <w:r>
              <w:rPr>
                <w:rFonts w:ascii="仿宋_GB2312" w:hAnsi="仿宋_GB2312" w:cs="仿宋_GB2312" w:eastAsia="仿宋_GB2312"/>
              </w:rPr>
              <w:t>一、评审内容 根据本项目需求编制原材料供应管理、食品保存管理方案，包括以下5项内容：①食材采购来源；②食材追溯；③运输；④食材贮存计划；⑤检验检查方案； 二、评审标准 完整性：方案须全面，对评审内容中的各项要求有详细描述及说明； 可实施性：切合本项目实际情况，实施步骤清晰、合理； 针对性：方案能够紧扣项目实际情况，内容科学合理。 三、赋分标准 1、供应商制定的原材料供应管理、食品保存管理方案对项目要求理解准确，内容齐全、结构完整、表述准确、条理清晰得15.0分，评审内容每缺失一项，扣3.0分。 2、根据评审标准对供应商售后服务及培训方案进行评审，每项评审内容有一处存在缺陷的扣1.0分。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膳食搭配</w:t>
            </w:r>
          </w:p>
        </w:tc>
        <w:tc>
          <w:tcPr>
            <w:tcW w:type="dxa" w:w="2492"/>
          </w:tcPr>
          <w:p>
            <w:pPr>
              <w:pStyle w:val="null3"/>
            </w:pPr>
            <w:r>
              <w:rPr>
                <w:rFonts w:ascii="仿宋_GB2312" w:hAnsi="仿宋_GB2312" w:cs="仿宋_GB2312" w:eastAsia="仿宋_GB2312"/>
              </w:rPr>
              <w:t>一、评审内容 根据本项目需求编制膳食搭配方案，包括以下2项内容：①菜肴品种；②膳食搭配营养； 二、评审标准 完整性：方案须全面，对评审内容中的各项要求有详细描述及说明； 可实施性：切合本项目实际情况，实施步骤清晰、合理； 针对性：方案能够紧扣项目实际情况，内容科学合理。 三、赋分标准 1、供应商制定的膳食搭配方案对项目要求理解准确，内容齐全、结构完整、表述准确、条理清晰得6.0分，评审内容每缺失一项，扣3.0分。 2、根据评审标准对供应商售后服务及培训方案进行评审，每项评审内容有一处存在缺陷的扣1.0分。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拟投入本项目团队方案，包括以下2项内容：①团队人员架构；②岗位人员配置； 二、评审标准 完整性：方案须全面，对评审内容中的各项要求有详细描述及说明； 可实施性：切合本项目实际情况，实施步骤清晰、合理； 针对性：方案能够紧扣项目实际情况，内容科学合理。 三、赋分标准 1、供应商制定的项目团队方案对项目要求理解准确，内容齐全、结构完整、表述准确、条理清晰得6.0分，评审内容每缺失一项，扣3.0分。 2、根据评审标准对供应商售后服务及培训方案进行评审，每项评审内容有一处存在缺陷的扣1.0分。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根据本项目需求编制应急方案，包括以下4项内容：①临时开餐处置方案；②食品安全事故及食物中毒事件应急预案；③工伤应急处置预案；④停水、停电、停气应急预案； 二、评审标准 完整性：方案须全面，对评审内容中的各项要求有详细描述及说明； 可实施性：切合本项目实际情况，实施步骤清晰、合理； 针对性：方案能够紧扣项目实际情况，内容科学合理。 三、赋分标准 1、供应商制定的应急方案对项目要求理解准确，内容齐全、结构完整、表述准确、条理清晰得12.0分，评审内容每缺失一项，扣3.0分。 2、根据评审标准对供应商售后服务及培训方案进行评审，每项评审内容有一处存在缺陷的扣1.0分。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一、评审内容 供应商提供企业内部管理方案，包括以下6项内容：①内部管理架构；②工作流程；③激励机制；④考核机制；⑤监督机制；⑥巡检机制； 二、评审标准 完整性：方案须全面，对评审内容中的各项要求有详细描述及说明； 可实施性：切合本项目实际情况，实施步骤清晰、合理； 针对性：方案能够紧扣项目实际情况，内容科学合理。 三、赋分标准 1、供应商制定的管理方案对项目要求理解准确，内容齐全、结构完整、表述准确、条理清晰得9.0分，评审内容每缺失一项，扣1.5分。 2、根据评审标准对供应商售后服务及培训方案进行评审，每项评审内容有一处存在缺陷的扣0.5分。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2022年1月1日起至今，具有类似项目业绩，每提供一份有效业绩得3.0分，最多得15.0分。（时间以合同或中标通知书日期为准，投标文件中附加盖公章的合同或中标通知书复印件，否则不作为评审依据）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即满足招标文件要求且投标价格最低的投标报价为评标基准价，其价格分为满分。其他投标人的价格分统一按照下列公式计算：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