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版本号：XAJG（ZFCG）-2025060920250630001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校园环境提升改造项目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XAJG（ZFCG）-20250609</w:t>
      </w:r>
      <w:r>
        <w:br/>
      </w:r>
      <w:r>
        <w:br/>
      </w:r>
      <w:r>
        <w:br/>
      </w:r>
    </w:p>
    <w:p>
      <w:pPr>
        <w:pStyle w:val="null3"/>
        <w:jc w:val="center"/>
        <w:outlineLvl w:val="2"/>
      </w:pPr>
      <w:r>
        <w:rPr>
          <w:rFonts w:ascii="仿宋_GB2312" w:hAnsi="仿宋_GB2312" w:cs="仿宋_GB2312" w:eastAsia="仿宋_GB2312"/>
          <w:sz w:val="28"/>
          <w:b/>
        </w:rPr>
        <w:t>西安市艺术学校</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西安市艺术学校</w:t>
      </w:r>
      <w:r>
        <w:rPr>
          <w:rFonts w:ascii="仿宋_GB2312" w:hAnsi="仿宋_GB2312" w:cs="仿宋_GB2312" w:eastAsia="仿宋_GB2312"/>
        </w:rPr>
        <w:t>委托，拟对</w:t>
      </w:r>
      <w:r>
        <w:rPr>
          <w:rFonts w:ascii="仿宋_GB2312" w:hAnsi="仿宋_GB2312" w:cs="仿宋_GB2312" w:eastAsia="仿宋_GB2312"/>
        </w:rPr>
        <w:t>校园环境提升改造项目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XAJG（ZFCG）-20250609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校园环境提升改造项目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由于校园地面损坏，管网年久老化严重，花坛水池石材老化严重，操场未铺设塑胶，现有条件很难满足我校师生教学、学习、安全等问题，为给我校师生工作及学习提供更好的保障，改善师生工作学习环境安全，需要对校园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采购包1（校园环境提升改造项目）：属于专门面向中小企业采购。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可提供成立后任意时段的资产负债表），或磋商前半年内其基本存款账户开户银行出具的资信证明；（以上三种形式的资料提供任何一种即可）</w:t>
      </w:r>
    </w:p>
    <w:p>
      <w:pPr>
        <w:pStyle w:val="null3"/>
      </w:pPr>
      <w:r>
        <w:rPr>
          <w:rFonts w:ascii="仿宋_GB2312" w:hAnsi="仿宋_GB2312" w:cs="仿宋_GB2312" w:eastAsia="仿宋_GB2312"/>
        </w:rPr>
        <w:t>3、税收缴纳证明：提供磋商截止之日前一年内已缴纳的至少一个月的纳税证明或完税证明（任意税种），依法免税的单位应提供相关证明材料；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4、社会保障资金缴纳证明：提供磋商截止之日前一年内已缴存的至少一个月的社会保障资金缴存单据或社保机构开具的社会保险参保缴费情况证明，依法不需要缴纳社会保障资金的单位应提供相关证明材料；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5、法定代表人授权书或法定代表人证明书：法定代表人授权书及法定代表人、被授权人身份证复印件加盖公章（法定代表人直接参加投标须出具法定代表人证明书及法定代表人身份证复印件加盖公章）；</w:t>
      </w:r>
    </w:p>
    <w:p>
      <w:pPr>
        <w:pStyle w:val="null3"/>
      </w:pPr>
      <w:r>
        <w:rPr>
          <w:rFonts w:ascii="仿宋_GB2312" w:hAnsi="仿宋_GB2312" w:cs="仿宋_GB2312" w:eastAsia="仿宋_GB2312"/>
        </w:rPr>
        <w:t>6、企业资质要求：具备建筑工程施工总承包三级及以上资质，及建设行政主管部门颁发的有效的企业安全生产许可证；</w:t>
      </w:r>
    </w:p>
    <w:p>
      <w:pPr>
        <w:pStyle w:val="null3"/>
      </w:pPr>
      <w:r>
        <w:rPr>
          <w:rFonts w:ascii="仿宋_GB2312" w:hAnsi="仿宋_GB2312" w:cs="仿宋_GB2312" w:eastAsia="仿宋_GB2312"/>
        </w:rPr>
        <w:t>7、拟派项目负责人资格要求：拟派项目经理具备建筑工程二级及以上注册建造师证书，同时具备安全生产考核合格证书（B级），并在本单位注册且无在建工程，（提供无在建承诺）；</w:t>
      </w:r>
    </w:p>
    <w:p>
      <w:pPr>
        <w:pStyle w:val="null3"/>
      </w:pPr>
      <w:r>
        <w:rPr>
          <w:rFonts w:ascii="仿宋_GB2312" w:hAnsi="仿宋_GB2312" w:cs="仿宋_GB2312" w:eastAsia="仿宋_GB2312"/>
        </w:rPr>
        <w:t>8、外地企业提供在“陕西省建筑市场监管与诚信信息一体化平台”上登记的基本信息界面截图：外地企业提供在“陕西省建筑市场监管与诚信信息一体化平台”上登记的基本信息界面截图</w:t>
      </w:r>
    </w:p>
    <w:p>
      <w:pPr>
        <w:pStyle w:val="null3"/>
      </w:pPr>
      <w:r>
        <w:rPr>
          <w:rFonts w:ascii="仿宋_GB2312" w:hAnsi="仿宋_GB2312" w:cs="仿宋_GB2312" w:eastAsia="仿宋_GB2312"/>
        </w:rPr>
        <w:t>9、信用记录：投标供应商在磋商截止时间前不得为“信用中国”网站（www.creditchina.gov.cn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w.ccgp.gov.cn）已列入政府采购严重违法失信行为记录名单的投标供应商；（供应商无须提供，磋商现场查询）</w:t>
      </w:r>
    </w:p>
    <w:p>
      <w:pPr>
        <w:pStyle w:val="null3"/>
      </w:pPr>
      <w:r>
        <w:rPr>
          <w:rFonts w:ascii="仿宋_GB2312" w:hAnsi="仿宋_GB2312" w:cs="仿宋_GB2312" w:eastAsia="仿宋_GB2312"/>
        </w:rPr>
        <w:t>10、中小企业声明函：本项目为专门面向中小企业；</w:t>
      </w:r>
    </w:p>
    <w:p>
      <w:pPr>
        <w:pStyle w:val="null3"/>
      </w:pPr>
      <w:r>
        <w:rPr>
          <w:rFonts w:ascii="仿宋_GB2312" w:hAnsi="仿宋_GB2312" w:cs="仿宋_GB2312" w:eastAsia="仿宋_GB2312"/>
        </w:rPr>
        <w:t>11、声明函：本项目不接受联合体投标。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西安市艺术学校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029-83293292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13厚红色塑胶跑道（透气型）、13厚绿色丙烯酸面层、3-5厚丙烯酸面层、塑料粘结剂</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代理服务费收费标准：招标代理服务费为包干11000.00元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西安市艺术学校</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西安市艺术学校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西安市艺术学校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1,349,994.00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西安市艺术学校校园环境提升改造项目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标的名称：西安市艺术学校校园环境提升改造项目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1.工程概况</w:t>
            </w:r>
          </w:p>
          <w:p>
            <w:pPr>
              <w:pStyle w:val="null3"/>
              <w:jc w:val="both"/>
            </w:pPr>
            <w:r>
              <w:rPr>
                <w:rFonts w:ascii="仿宋_GB2312" w:hAnsi="仿宋_GB2312" w:cs="仿宋_GB2312" w:eastAsia="仿宋_GB2312"/>
                <w:sz w:val="20"/>
              </w:rPr>
              <w:t>1.1建设单位：西安艺术学校</w:t>
            </w:r>
          </w:p>
          <w:p>
            <w:pPr>
              <w:pStyle w:val="null3"/>
              <w:jc w:val="both"/>
            </w:pPr>
            <w:r>
              <w:rPr>
                <w:rFonts w:ascii="仿宋_GB2312" w:hAnsi="仿宋_GB2312" w:cs="仿宋_GB2312" w:eastAsia="仿宋_GB2312"/>
                <w:sz w:val="20"/>
              </w:rPr>
              <w:t>1.2工程名称：西安市艺术学校校园环境提升改造项目</w:t>
            </w:r>
          </w:p>
          <w:p>
            <w:pPr>
              <w:pStyle w:val="null3"/>
              <w:jc w:val="both"/>
            </w:pPr>
            <w:r>
              <w:rPr>
                <w:rFonts w:ascii="仿宋_GB2312" w:hAnsi="仿宋_GB2312" w:cs="仿宋_GB2312" w:eastAsia="仿宋_GB2312"/>
                <w:sz w:val="20"/>
              </w:rPr>
              <w:t>1.3工程地点：陕西省西安市西安艺术学校</w:t>
            </w:r>
          </w:p>
          <w:p>
            <w:pPr>
              <w:pStyle w:val="null3"/>
              <w:jc w:val="both"/>
            </w:pPr>
            <w:r>
              <w:rPr>
                <w:rFonts w:ascii="仿宋_GB2312" w:hAnsi="仿宋_GB2312" w:cs="仿宋_GB2312" w:eastAsia="仿宋_GB2312"/>
                <w:sz w:val="20"/>
              </w:rPr>
              <w:t>2.编制依据</w:t>
            </w:r>
          </w:p>
          <w:p>
            <w:pPr>
              <w:pStyle w:val="null3"/>
              <w:jc w:val="both"/>
            </w:pPr>
            <w:r>
              <w:rPr>
                <w:rFonts w:ascii="仿宋_GB2312" w:hAnsi="仿宋_GB2312" w:cs="仿宋_GB2312" w:eastAsia="仿宋_GB2312"/>
                <w:sz w:val="20"/>
              </w:rPr>
              <w:t>2.1《陕西省建设工程工程量清单计价规则2009》。</w:t>
            </w:r>
          </w:p>
          <w:p>
            <w:pPr>
              <w:pStyle w:val="null3"/>
              <w:jc w:val="both"/>
            </w:pPr>
            <w:r>
              <w:rPr>
                <w:rFonts w:ascii="仿宋_GB2312" w:hAnsi="仿宋_GB2312" w:cs="仿宋_GB2312" w:eastAsia="仿宋_GB2312"/>
                <w:sz w:val="20"/>
              </w:rPr>
              <w:t>2.2国家、省建设主管部门颁发的计价依据和办法。《2009年陕西省建设工程工程量清单计价费率》、《2009年陕西省建筑装饰工程价目表》、《2009陕西省安装工程价目表》、《2009年陕西省建设工程施工机械台班价目表》、《2009年陕西省建设工程消耗量定额勘误及补充定额》。</w:t>
            </w:r>
          </w:p>
          <w:p>
            <w:pPr>
              <w:pStyle w:val="null3"/>
              <w:jc w:val="both"/>
            </w:pPr>
            <w:r>
              <w:rPr>
                <w:rFonts w:ascii="仿宋_GB2312" w:hAnsi="仿宋_GB2312" w:cs="仿宋_GB2312" w:eastAsia="仿宋_GB2312"/>
                <w:sz w:val="20"/>
              </w:rPr>
              <w:t>2.3建设工程设计图纸，答疑等资料。</w:t>
            </w:r>
          </w:p>
          <w:p>
            <w:pPr>
              <w:pStyle w:val="null3"/>
              <w:jc w:val="both"/>
            </w:pPr>
            <w:r>
              <w:rPr>
                <w:rFonts w:ascii="仿宋_GB2312" w:hAnsi="仿宋_GB2312" w:cs="仿宋_GB2312" w:eastAsia="仿宋_GB2312"/>
                <w:sz w:val="20"/>
              </w:rPr>
              <w:t>2.4与建设工程项目有关的标准、规范、技术资料，现行有关法律、法规。</w:t>
            </w:r>
          </w:p>
          <w:p>
            <w:pPr>
              <w:pStyle w:val="null3"/>
              <w:jc w:val="both"/>
            </w:pPr>
            <w:r>
              <w:rPr>
                <w:rFonts w:ascii="仿宋_GB2312" w:hAnsi="仿宋_GB2312" w:cs="仿宋_GB2312" w:eastAsia="仿宋_GB2312"/>
                <w:sz w:val="20"/>
              </w:rPr>
              <w:t>2.5本工程招标文件对工程量清单编制的相关要求。</w:t>
            </w:r>
          </w:p>
          <w:p>
            <w:pPr>
              <w:pStyle w:val="null3"/>
              <w:jc w:val="both"/>
            </w:pPr>
            <w:r>
              <w:rPr>
                <w:rFonts w:ascii="仿宋_GB2312" w:hAnsi="仿宋_GB2312" w:cs="仿宋_GB2312" w:eastAsia="仿宋_GB2312"/>
                <w:sz w:val="20"/>
              </w:rPr>
              <w:t>2.6工程清单项目特征中注明做法的，其工程内容为做法所含全部内容，未注明做法的，其工程内容同《计价规则》对应项工程内容。</w:t>
            </w:r>
          </w:p>
          <w:p>
            <w:pPr>
              <w:pStyle w:val="null3"/>
              <w:jc w:val="both"/>
            </w:pPr>
            <w:r>
              <w:rPr>
                <w:rFonts w:ascii="仿宋_GB2312" w:hAnsi="仿宋_GB2312" w:cs="仿宋_GB2312" w:eastAsia="仿宋_GB2312"/>
                <w:sz w:val="20"/>
              </w:rPr>
              <w:t>2.7工程量清单采用广联达GCCP6.0编制，版本为6.4100.23.122。</w:t>
            </w:r>
          </w:p>
          <w:p>
            <w:pPr>
              <w:pStyle w:val="null3"/>
              <w:jc w:val="both"/>
            </w:pPr>
            <w:r>
              <w:rPr>
                <w:rFonts w:ascii="仿宋_GB2312" w:hAnsi="仿宋_GB2312" w:cs="仿宋_GB2312" w:eastAsia="仿宋_GB2312"/>
                <w:sz w:val="20"/>
              </w:rPr>
              <w:t>2.8税率调整执行陕建发【2019】45号文件。</w:t>
            </w:r>
          </w:p>
          <w:p>
            <w:pPr>
              <w:pStyle w:val="null3"/>
              <w:jc w:val="both"/>
            </w:pPr>
            <w:r>
              <w:rPr>
                <w:rFonts w:ascii="仿宋_GB2312" w:hAnsi="仿宋_GB2312" w:cs="仿宋_GB2312" w:eastAsia="仿宋_GB2312"/>
                <w:sz w:val="20"/>
              </w:rPr>
              <w:t>2.9安全文明施工费已执行陕建发【2019】1246号文件。</w:t>
            </w:r>
          </w:p>
          <w:p>
            <w:pPr>
              <w:pStyle w:val="null3"/>
              <w:jc w:val="both"/>
            </w:pPr>
            <w:r>
              <w:rPr>
                <w:rFonts w:ascii="仿宋_GB2312" w:hAnsi="仿宋_GB2312" w:cs="仿宋_GB2312" w:eastAsia="仿宋_GB2312"/>
                <w:sz w:val="20"/>
              </w:rPr>
              <w:t>2.10规费执行陕建发【2020】1097号文件。</w:t>
            </w:r>
          </w:p>
          <w:p>
            <w:pPr>
              <w:pStyle w:val="null3"/>
              <w:jc w:val="both"/>
            </w:pPr>
            <w:r>
              <w:rPr>
                <w:rFonts w:ascii="仿宋_GB2312" w:hAnsi="仿宋_GB2312" w:cs="仿宋_GB2312" w:eastAsia="仿宋_GB2312"/>
                <w:sz w:val="20"/>
              </w:rPr>
              <w:t>2.11劳保统筹按陕建发【2021】1021号文件执行。</w:t>
            </w:r>
          </w:p>
          <w:p>
            <w:pPr>
              <w:pStyle w:val="null3"/>
              <w:jc w:val="both"/>
            </w:pPr>
            <w:r>
              <w:rPr>
                <w:rFonts w:ascii="仿宋_GB2312" w:hAnsi="仿宋_GB2312" w:cs="仿宋_GB2312" w:eastAsia="仿宋_GB2312"/>
                <w:sz w:val="20"/>
              </w:rPr>
              <w:t>3.其它</w:t>
            </w:r>
          </w:p>
          <w:p>
            <w:pPr>
              <w:pStyle w:val="null3"/>
              <w:jc w:val="both"/>
            </w:pPr>
            <w:r>
              <w:rPr>
                <w:rFonts w:ascii="仿宋_GB2312" w:hAnsi="仿宋_GB2312" w:cs="仿宋_GB2312" w:eastAsia="仿宋_GB2312"/>
                <w:sz w:val="20"/>
              </w:rPr>
              <w:t>3.1原有乔木移栽经与建设单位确认工程量按5棵，高度：450-500cm</w:t>
            </w:r>
          </w:p>
          <w:p>
            <w:pPr>
              <w:pStyle w:val="null3"/>
              <w:jc w:val="both"/>
            </w:pPr>
            <w:r>
              <w:rPr>
                <w:rFonts w:ascii="仿宋_GB2312" w:hAnsi="仿宋_GB2312" w:cs="仿宋_GB2312" w:eastAsia="仿宋_GB2312"/>
                <w:sz w:val="20"/>
              </w:rPr>
              <w:t>冠幅：</w:t>
            </w:r>
            <w:r>
              <w:rPr>
                <w:rFonts w:ascii="仿宋_GB2312" w:hAnsi="仿宋_GB2312" w:cs="仿宋_GB2312" w:eastAsia="仿宋_GB2312"/>
                <w:sz w:val="20"/>
              </w:rPr>
              <w:t>300-350cm，胸径：12-15cm计入。</w:t>
            </w:r>
          </w:p>
          <w:p>
            <w:pPr>
              <w:pStyle w:val="null3"/>
              <w:jc w:val="both"/>
            </w:pPr>
            <w:r>
              <w:rPr>
                <w:rFonts w:ascii="仿宋_GB2312" w:hAnsi="仿宋_GB2312" w:cs="仿宋_GB2312" w:eastAsia="仿宋_GB2312"/>
                <w:sz w:val="20"/>
              </w:rPr>
              <w:t>3.2本项目预留金10000元。</w:t>
            </w:r>
          </w:p>
          <w:p>
            <w:pPr>
              <w:pStyle w:val="null3"/>
              <w:jc w:val="both"/>
            </w:pPr>
            <w:r>
              <w:rPr>
                <w:rFonts w:ascii="仿宋_GB2312" w:hAnsi="仿宋_GB2312" w:cs="仿宋_GB2312" w:eastAsia="仿宋_GB2312"/>
                <w:sz w:val="20"/>
              </w:rPr>
              <w:t>3.3高杆灯防雷接地在图纸中无具体做法，本次暂按SC50钢管接地极，-40*4镀锌扁钢计入。</w:t>
            </w:r>
          </w:p>
          <w:p>
            <w:pPr>
              <w:pStyle w:val="null3"/>
              <w:jc w:val="both"/>
            </w:pPr>
            <w:r>
              <w:rPr>
                <w:rFonts w:ascii="仿宋_GB2312" w:hAnsi="仿宋_GB2312" w:cs="仿宋_GB2312" w:eastAsia="仿宋_GB2312"/>
                <w:sz w:val="20"/>
              </w:rPr>
              <w:t>3.5配电箱不在本次改造范围内，暂未计入。</w:t>
            </w:r>
          </w:p>
          <w:p>
            <w:pPr>
              <w:pStyle w:val="null3"/>
              <w:jc w:val="both"/>
            </w:pPr>
            <w:r>
              <w:rPr>
                <w:rFonts w:ascii="仿宋_GB2312" w:hAnsi="仿宋_GB2312" w:cs="仿宋_GB2312" w:eastAsia="仿宋_GB2312"/>
                <w:sz w:val="20"/>
              </w:rPr>
              <w:t>4.工程量清单详见附件。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本项目工程质量等级为符合国家相关验收标准及其配套的规范的要求，并达到合格标准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 一、工期、项目地点、工程质量： 1、工期：40日历天 2、项目地点：采购人指定地点 3、工程质量：合格 4、质保期：本项目竣工验收合格通过之日起1年 二、运输、安装： 成交单位负责本项目施工中货物的运输安装。 三、付款方式： 1、付款方式：合同签订后10日内预付合同金额的30%，工程竣工验收合格后支付合同金额的50%，工程竣工结算经审定后支付合同金额的17%，质保期满后支付合同金额的3%。 2、结算方式：银行转账。 四、合同实施 1 、成交单位应在合同签订后7个日历日内安排人员（项目组成人员简历表所列）与使用单位就工作进行安排、部署。 2 、若未能在完成期限内完成合同规定的义务，由此对采购人造成的延误和一切损失，由成交单位承担和赔偿。 五、项目验收： 1、项目验收为一次性验收: 工程验收;工程施工完毕后，由采购人根据合同对工程进行验收。 2、验收不合格的成交单位，必须在接到通知后7个日历日内确保工程通过验收。如接到通知后7个日历日内验收仍不合格，采购人可提出索赔或取消其合同。 3、验收依据 （1）合同文本及合同补充文件（条款）。 （2）磋商文件。 （3）成交单位的磋商响应文件。 （4）国家相关法律法规。 六、质量保证： 本工程质量等级为符合国家相关验收标准及其配套的规范要求，并达到合格标准。 七、违约责任 1.按《中华人民共和国民法典》中的相关条款执行。 2.未按合同要求工程质量不能满足技术要求，采购方有权终止合同，并对供方违约行为进行追究，同时按《中华人民共和国政府采购法》的有关规定进行处罚。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磋商前半年内其基本存款账户开户银行出具的资信证明；（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磋商前半年内其基本存款账户开户银行出具的资信证明；（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提供磋商截止之日前一年内已缴纳的至少一个月的纳税证明或完税证明（任意税种），依法免税的单位应提供相关证明材料；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提供磋商截止之日前一年内已缴存的至少一个月的社会保障资金缴存单据或社保机构开具的社会保险参保缴费情况证明，依法不需要缴纳社会保障资金的单位应提供相关证明材料；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法定代表人授权书及法定代表人、被授权人身份证复印件加盖公章（法定代表人直接参加投标须出具法定代表人证明书及法定代表人身份证复印件加盖公章）；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具备建筑工程施工总承包三级及以上资质，及建设行政主管部门颁发的有效的企业安全生产许可证；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拟派项目经理具备建筑工程二级及以上注册建造师证书，同时具备安全生产考核合格证书（B级），并在本单位注册且无在建工程，（提供无在建承诺）；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投标供应商在磋商截止时间前不得为“信用中国”网站（www.creditchina.gov.cn ）（页面跳转至“中国执行信息网”http://zxgk.court.gov.cn/shixin）已列入失信被执行人和重大税收违法失信主体的投标供应商，不得为“中国政府采购网”（ww w.ccgp.gov.cn）已列入政府采购严重违法失信行为记录名单的投标供应商；（供应商无须提供，磋商现场查询）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供应商用于本工程施工的机械设备表.docx 项目管理机构组成表 残疾人福利性单位声明函 拒绝政府采购领域商业贿赂承诺书.docx 报价函 供应商认为有必要说明的其他问题.docx 标的清单 供应商类似项目业绩一览表 供应商供应材料设备一览表.docx 响应函 本项目不接受联合体.docx 主要人员简历表 监狱企业的证明文件 保修承诺.docx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报价不得超过采购预算和最高限价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工期满足采购文件要求（合格） 工期不满足采购文件要求（不合格）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工程质量满足采购文件最低要求（合格） 工程质量不满足采购文件最低要求（不合格）</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响应文件响应有效期</w:t>
            </w:r>
          </w:p>
        </w:tc>
        <w:tc>
          <w:tcPr>
            <w:tcW w:type="dxa" w:w="3322"/>
          </w:tcPr>
          <w:p>
            <w:pPr>
              <w:pStyle w:val="null3"/>
            </w:pPr>
            <w:r>
              <w:rPr>
                <w:rFonts w:ascii="仿宋_GB2312" w:hAnsi="仿宋_GB2312" w:cs="仿宋_GB2312" w:eastAsia="仿宋_GB2312"/>
              </w:rPr>
              <w:t>响应文件响应有效期或有效期达到竞争性磋商文件要求的（合格）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响应文件未出现漏项或工程量清单与要求不符的（合格） 响应文件出现漏项或工程量清单与要求不符的（不合格）</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供应商用于本工程施工的机械设备表.docx 项目管理机构组成表 残疾人福利性单位声明函 拒绝政府采购领域商业贿赂承诺书.docx 报价函 供应商认为有必要说明的其他问题.docx 标的清单 供应商类似项目业绩一览表 供应商供应材料设备一览表.docx 响应函 本项目不接受联合体.docx 主要人员简历表 监狱企业的证明文件 保修承诺.docx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 存在法律、法规和招标文件规定的其他无效情形(不合格)</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供应商用于本工程施工的机械设备表.docx 项目管理机构组成表 残疾人福利性单位声明函 拒绝政府采购领域商业贿赂承诺书.docx 报价函 供应商认为有必要说明的其他问题.docx 标的清单 供应商类似项目业绩一览表 供应商供应材料设备一览表.docx 响应函 本项目不接受联合体.docx 主要人员简历表 监狱企业的证明文件 保修承诺.docx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项目的施工方案</w:t>
            </w:r>
          </w:p>
        </w:tc>
        <w:tc>
          <w:tcPr>
            <w:tcW w:type="dxa" w:w="2492"/>
          </w:tcPr>
          <w:p>
            <w:pPr>
              <w:pStyle w:val="null3"/>
            </w:pPr>
            <w:r>
              <w:rPr>
                <w:rFonts w:ascii="仿宋_GB2312" w:hAnsi="仿宋_GB2312" w:cs="仿宋_GB2312" w:eastAsia="仿宋_GB2312"/>
              </w:rPr>
              <w:t>分部分项工程概况、施工平面布置、施工要求和技术保证条件，重点难点分析及处理措施。根据方案完整程度赋分。内容完备、科学、合理、针对性强计7.1-10分；基本满足施工要求计4.1-7分；方案较差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施工进度及工期保障措施</w:t>
            </w:r>
          </w:p>
        </w:tc>
        <w:tc>
          <w:tcPr>
            <w:tcW w:type="dxa" w:w="2492"/>
          </w:tcPr>
          <w:p>
            <w:pPr>
              <w:pStyle w:val="null3"/>
            </w:pPr>
            <w:r>
              <w:rPr>
                <w:rFonts w:ascii="仿宋_GB2312" w:hAnsi="仿宋_GB2312" w:cs="仿宋_GB2312" w:eastAsia="仿宋_GB2312"/>
              </w:rPr>
              <w:t>1.提供全面的进度安排、分析关键节点、确保进度、保证工期的的技术组织措施（包括施工进度表或施工网络图）计0-3分；2.在满足工期要求的基础上，有承诺提前完工的相关措施加0-2分。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制定切实可行的总体质量控制目标及分阶段施工的重点难点目标，且对质量控制目标进行合理分解、规划，给出有针对性分段施工方案及其编制依据，确保本项目质量标准符合该项目质量要求。内容完备、科学、合理、针对性强计7.1-10分；基本满足施工要求计4.1-7分；方案较差计0-4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材料质量保障</w:t>
            </w:r>
          </w:p>
        </w:tc>
        <w:tc>
          <w:tcPr>
            <w:tcW w:type="dxa" w:w="2492"/>
          </w:tcPr>
          <w:p>
            <w:pPr>
              <w:pStyle w:val="null3"/>
            </w:pPr>
            <w:r>
              <w:rPr>
                <w:rFonts w:ascii="仿宋_GB2312" w:hAnsi="仿宋_GB2312" w:cs="仿宋_GB2312" w:eastAsia="仿宋_GB2312"/>
              </w:rPr>
              <w:t>1.供应商针对本项目提供主要材料清单（清单内容包括但不限于材料名称、品牌、规格、技术参数等），根据内容完整程度计0-10分； 2.主材清单中所响应产品为主流产品，质量好、工艺优良、安全性高计3.1-5分；产品质量、工艺、安全性一般计0-3分。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结合工程环境、特点分析安全隐患,给出有针对性的安全施工管理制度、文明施工、环保施工、防尘降噪等保证防护措施。根据内容完整程度计0-2分，未提供不计分。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拟投入本项目的设备、机械、工具、主材等</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施工机械配备合理和材料环保性较好，得5.1-7分； 施工机械配备和材料投入计划基本合理、可行，得3.1-5分； 施工机械配备和材料投入计划较差，得1-3分；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针对突发事件的应急处理方案，提供相应的预案或保证措施计0-1分,未提供不计分。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项目经理部人员组成的情况</w:t>
            </w:r>
          </w:p>
        </w:tc>
        <w:tc>
          <w:tcPr>
            <w:tcW w:type="dxa" w:w="2492"/>
          </w:tcPr>
          <w:p>
            <w:pPr>
              <w:pStyle w:val="null3"/>
            </w:pPr>
            <w:r>
              <w:rPr>
                <w:rFonts w:ascii="仿宋_GB2312" w:hAnsi="仿宋_GB2312" w:cs="仿宋_GB2312" w:eastAsia="仿宋_GB2312"/>
              </w:rPr>
              <w:t>岗位、专业、分工、专职安全生产管理人员、作业人员等，配置合理、针对性强计1.1-2分；基本满足要求计0-1分；未提供不计分。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根据施工工艺技术、技术参数、工艺流程、施工方法详尽度赋分计1-2分；未提供不计分。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根据提供的2022年1月1日至今，（以合同签订日期为准，仅限供应商，提供完整合同）进行评定，每份计1分，最高计5分。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根据供应商提供保修方案进行综合对比，计0-1分,未提供不计分。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详见附件：供应商供应材料设备一览表.docx</w:t>
      </w:r>
    </w:p>
    <w:p>
      <w:pPr>
        <w:pStyle w:val="null3"/>
        <w:ind w:firstLine="960"/>
      </w:pPr>
      <w:r>
        <w:rPr>
          <w:rFonts w:ascii="仿宋_GB2312" w:hAnsi="仿宋_GB2312" w:cs="仿宋_GB2312" w:eastAsia="仿宋_GB2312"/>
        </w:rPr>
        <w:t>详见附件：供应商用于本工程施工的机械设备表.docx</w:t>
      </w:r>
    </w:p>
    <w:p>
      <w:pPr>
        <w:pStyle w:val="null3"/>
        <w:ind w:firstLine="960"/>
      </w:pPr>
      <w:r>
        <w:rPr>
          <w:rFonts w:ascii="仿宋_GB2312" w:hAnsi="仿宋_GB2312" w:cs="仿宋_GB2312" w:eastAsia="仿宋_GB2312"/>
        </w:rPr>
        <w:t>详见附件：保修承诺.docx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详见附件：本项目不接受联合体.docx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