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版本号：LZBC2025-1079.20250701001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新建实验楼项目厨房设备采购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LZBC2025-1079.</w:t>
      </w:r>
      <w:r>
        <w:br/>
      </w:r>
      <w:r>
        <w:br/>
      </w:r>
      <w:r>
        <w:br/>
      </w:r>
    </w:p>
    <w:p>
      <w:pPr>
        <w:pStyle w:val="null3"/>
        <w:jc w:val="center"/>
        <w:outlineLvl w:val="2"/>
      </w:pPr>
      <w:r>
        <w:rPr>
          <w:rFonts w:ascii="仿宋_GB2312" w:hAnsi="仿宋_GB2312" w:cs="仿宋_GB2312" w:eastAsia="仿宋_GB2312"/>
          <w:sz w:val="28"/>
          <w:b/>
        </w:rPr>
        <w:t>西安市第八十五中学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西安市第八十五中学</w:t>
      </w:r>
      <w:r>
        <w:rPr>
          <w:rFonts w:ascii="仿宋_GB2312" w:hAnsi="仿宋_GB2312" w:cs="仿宋_GB2312" w:eastAsia="仿宋_GB2312"/>
        </w:rPr>
        <w:t>委托，拟对</w:t>
      </w:r>
      <w:r>
        <w:rPr>
          <w:rFonts w:ascii="仿宋_GB2312" w:hAnsi="仿宋_GB2312" w:cs="仿宋_GB2312" w:eastAsia="仿宋_GB2312"/>
        </w:rPr>
        <w:t>新建实验楼项目厨房设备采购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LZBC2025-1079.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新建实验楼项目厨房设备采购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西安市第八十五中学新建实验楼项目厨房设备采购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采购包1（西安市第八十五中学新建实验楼项目厨房设备采购）：属于预留采购份额面向中小企业采购，预留比例为50%。</w:t>
      </w:r>
    </w:p>
    <w:p>
      <w:pPr>
        <w:pStyle w:val="null3"/>
      </w:pPr>
      <w:r>
        <w:rPr>
          <w:rFonts w:ascii="仿宋_GB2312" w:hAnsi="仿宋_GB2312" w:cs="仿宋_GB2312" w:eastAsia="仿宋_GB2312"/>
        </w:rPr>
        <w:t>供应商合同分包的，分包意向协议中中小企业预留比例为50%。（未进行合同分包的，供应商应当为中小企业）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、其他组织或自然人：法人或者其他组织提供营业执照等证明文件， 自然人提供身份证件，供应商需在项目电子化 交易系统中按要求上传相应证明文件并进行电 子签章</w:t>
      </w:r>
    </w:p>
    <w:p>
      <w:pPr>
        <w:pStyle w:val="null3"/>
      </w:pPr>
      <w:r>
        <w:rPr>
          <w:rFonts w:ascii="仿宋_GB2312" w:hAnsi="仿宋_GB2312" w:cs="仿宋_GB2312" w:eastAsia="仿宋_GB2312"/>
        </w:rPr>
        <w:t>2、税收缴纳凭证及社会保险缴纳的凭证：供应商在本项目磋商响应文件递交截止时间前 十二个月内任意一个月的税收缴纳凭证及社会 保险缴纳的凭证。依法免税或不需要缴纳社会 保障资金的供应商，应提供相应文件证明其依 法免税或不需要缴纳社会保障资金，供应商需 在项目电子化交易系统中按要求上传相应证明 文件</w:t>
      </w:r>
    </w:p>
    <w:p>
      <w:pPr>
        <w:pStyle w:val="null3"/>
      </w:pPr>
      <w:r>
        <w:rPr>
          <w:rFonts w:ascii="仿宋_GB2312" w:hAnsi="仿宋_GB2312" w:cs="仿宋_GB2312" w:eastAsia="仿宋_GB2312"/>
        </w:rPr>
        <w:t>3、财务状况报告：供应商2023年或2024年经审计的财务报告（事业法人可提供部门决算报告）或基本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 活动中没有重大违法记录的书面声 明； 其中：重大违法记录是指供应 商因违法经营受到刑事处罚或者责 令停产停业、吊销许可证或者执照 、较大数额罚款等行政处罚：参加政府采购活动前3年内在经营活动中没有重 大违法记录的书面声明，供应商需在项目电子 化交易系统中按要求上传相应证明文件并进行 电子签章</w:t>
      </w:r>
    </w:p>
    <w:p>
      <w:pPr>
        <w:pStyle w:val="null3"/>
      </w:pPr>
      <w:r>
        <w:rPr>
          <w:rFonts w:ascii="仿宋_GB2312" w:hAnsi="仿宋_GB2312" w:cs="仿宋_GB2312" w:eastAsia="仿宋_GB2312"/>
        </w:rPr>
        <w:t>5、履行合同所必需的设备和专业技术 能力书面声明函：具有履行合同所必需的设备和专业技术能力书 面声明函，供应商需在项目电子化交易系统中 按要求上传相应证明文件并进行电子签章</w:t>
      </w:r>
    </w:p>
    <w:p>
      <w:pPr>
        <w:pStyle w:val="null3"/>
      </w:pPr>
      <w:r>
        <w:rPr>
          <w:rFonts w:ascii="仿宋_GB2312" w:hAnsi="仿宋_GB2312" w:cs="仿宋_GB2312" w:eastAsia="仿宋_GB2312"/>
        </w:rPr>
        <w:t>6、不得为“信用中国”网站（www.cre ditchina.gov.cn）中列入失信被执 行人和重大税收违法失信主体的供 应商，不得为中国政府采购网（w ww.ccgp.gov.cn）政府采购严重 违法失信行为记录名单中被财政部 门禁止参加政府采购活动的供应商：不得为“信用中国”网站（www.creditchina.go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西安市第八十五中学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翠华路254号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王若莹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029-87875152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易景元、胡敏、王申午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采购包1：1,036,763.62元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采购代理服务收费管理暂行办法的通知》计价格[2002]1980号文件、国家发改委办公厅颁发的《关于采购代理服务收费有关问题的通知》（发改办价格【2003】857号）文件等，由成交（中标）单位在领取成交（中标）通知书前向受托人支付采购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西安市第八十五中学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西安市第八十五中学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50%，分包履行的内容：本项目预留合同总额的50%专门面向中小企业采购。专门面向中小企业采购的部分，应不低于总合同额的50%。若企业性质属于大型，必须将不低于合同总额的50%分包给中小企业，须在投标文件中提供与拟分包企业签订的分包意向协议、中小企业声明函；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达到国家及行业相关标准，并满足磋商文件要求。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联系人：易景元、胡敏、王申午</w:t>
      </w:r>
    </w:p>
    <w:p>
      <w:pPr>
        <w:pStyle w:val="null3"/>
      </w:pPr>
      <w:r>
        <w:rPr>
          <w:rFonts w:ascii="仿宋_GB2312" w:hAnsi="仿宋_GB2312" w:cs="仿宋_GB2312" w:eastAsia="仿宋_GB2312"/>
        </w:rPr>
        <w:t>联系电话：029-88228899-635</w:t>
      </w:r>
    </w:p>
    <w:p>
      <w:pPr>
        <w:pStyle w:val="null3"/>
      </w:pPr>
      <w:r>
        <w:rPr>
          <w:rFonts w:ascii="仿宋_GB2312" w:hAnsi="仿宋_GB2312" w:cs="仿宋_GB2312" w:eastAsia="仿宋_GB2312"/>
        </w:rPr>
        <w:t>地址：陕西省西安市高新区太白南路181号A座A区501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西安市第八十五中学新建实验楼项目厨房设备采购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1,036,763.62</w:t>
      </w:r>
    </w:p>
    <w:p>
      <w:pPr>
        <w:pStyle w:val="null3"/>
      </w:pPr>
      <w:r>
        <w:rPr>
          <w:rFonts w:ascii="仿宋_GB2312" w:hAnsi="仿宋_GB2312" w:cs="仿宋_GB2312" w:eastAsia="仿宋_GB2312"/>
        </w:rPr>
        <w:t>采购包最高限价（元）: 1,036,763.62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1,036,763.62</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本项目清单及参数内容详见附件。</w:t>
            </w:r>
          </w:p>
          <w:p>
            <w:pPr>
              <w:pStyle w:val="null3"/>
              <w:jc w:val="left"/>
            </w:pPr>
            <w:r>
              <w:rPr>
                <w:rFonts w:ascii="仿宋_GB2312" w:hAnsi="仿宋_GB2312" w:cs="仿宋_GB2312" w:eastAsia="仿宋_GB2312"/>
                <w:sz w:val="21"/>
                <w:color w:val="000000"/>
              </w:rPr>
              <w:t>本项目核心产品为：烟罩灭火系统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西安市第八十五中学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供货完成自甲方验收合格后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 署到货验收单。未签收到货验收单的货物不得擅自开箱安装。 2、乙方保证合同所有设备是全新的（包括零部件），其规格参 数及配件不低于（符合）本项目招投标文件的要求。 3、安装完成，乙方进行自测并形成自测报告（软硬件），出现的问题限 期整改。 自检最终通过后，乙方提出验收申请，甲方组织相关人员进行最终验收。 4、设备采购从通过最终验收之日起进入保 修期，提供原厂保修。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二、供应商务必在开标截止时间30分钟前，通过项目电子化交 易系统进行签到，如未进行签到，产生的一切后果由供应商自行承担。 三、报价说明：报价包含全部成本、利润、税金和风险。 四、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五、本项目预留合同总额的50%专门面向中小企业采购。专门面向中小企业采购的部分，应不低于总合同额的50%。若企业性质属于大型，必须将不低于合同总额的50%分包给中小企业，须在投标文件中提供与拟分包企业签订的分包意向协议、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预留合同总额的50%专门面向中小企业采购。专门面向中小企业采购的部分，应不低于总合同额的50%。若企业性质属于大型，必须将不低于合同总额的50%分包给中小企业，须在投标文件中提供与拟分包企业签订的分包意向协议、中小企业声明函。</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 交易系统中按要求上传相应证明文件并进行电 子签章</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 十二个月内任意一个月的税收缴纳凭证及社会 保险缴纳的凭证。依法免税或不需要缴纳社会 保障资金的供应商，应提供相应文件证明其依 法免税或不需要缴纳社会保障资金，供应商需 在项目电子化交易系统中按要求上传相应证明 文件</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或2024年经审计的财务报告（事业法人可提供部门决算报告）或基本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 活动中没有重大违法记录的书面声 明； 其中：重大违法记录是指供应 商因违法经营受到刑事处罚或者责 令停产停业、吊销许可证或者执照 、较大数额罚款等行政处罚</w:t>
            </w:r>
          </w:p>
        </w:tc>
        <w:tc>
          <w:tcPr>
            <w:tcW w:type="dxa" w:w="3322"/>
          </w:tcPr>
          <w:p>
            <w:pPr>
              <w:pStyle w:val="null3"/>
            </w:pPr>
            <w:r>
              <w:rPr>
                <w:rFonts w:ascii="仿宋_GB2312" w:hAnsi="仿宋_GB2312" w:cs="仿宋_GB2312" w:eastAsia="仿宋_GB2312"/>
              </w:rPr>
              <w:t>参加政府采购活动前3年内在经营活动中没有重 大违法记录的书面声明，供应商需在项目电子 化交易系统中按要求上传相应证明文件并进行 电子签章</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 能力书面声明函</w:t>
            </w:r>
          </w:p>
        </w:tc>
        <w:tc>
          <w:tcPr>
            <w:tcW w:type="dxa" w:w="3322"/>
          </w:tcPr>
          <w:p>
            <w:pPr>
              <w:pStyle w:val="null3"/>
            </w:pPr>
            <w:r>
              <w:rPr>
                <w:rFonts w:ascii="仿宋_GB2312" w:hAnsi="仿宋_GB2312" w:cs="仿宋_GB2312" w:eastAsia="仿宋_GB2312"/>
              </w:rPr>
              <w:t>具有履行合同所必需的设备和专业技术能力书 面声明函，供应商需在项目电子化交易系统中 按要求上传相应证明文件并进行电子签章</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不得为“信用中国”网站（www.cre ditchina.gov.cn）中列入失信被执 行人和重大税收违法失信主体的供 应商，不得为中国政府采购网（w ww.ccgp.gov.cn）政府采购严重 违法失信行为记录名单中被财政部 门禁止参加政府采购活动的供应商</w:t>
            </w:r>
          </w:p>
        </w:tc>
        <w:tc>
          <w:tcPr>
            <w:tcW w:type="dxa" w:w="3322"/>
          </w:tcPr>
          <w:p>
            <w:pPr>
              <w:pStyle w:val="null3"/>
            </w:pPr>
            <w:r>
              <w:rPr>
                <w:rFonts w:ascii="仿宋_GB2312" w:hAnsi="仿宋_GB2312" w:cs="仿宋_GB2312" w:eastAsia="仿宋_GB2312"/>
              </w:rPr>
              <w:t>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格式.docx 产品技术参数表 中小企业声明函 残疾人福利性单位声明函 商务应答表 供应商应提交的相关资格证明材料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所响应产品内容齐全，数量准确无 缺漏项，性能质量好、符合相关国家标准规范，完全满足竞争性磋商文件 采购需求得15分，每有一项负偏离 扣0.2分，扣完为止。评审依据包括但不限于产品检测报告、产品彩页 、产品说明书、官网功能截图或相 关技术资料、技术指标偏差表等。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主要产品进货渠道正常，提供所响 应主要产品来源渠道合法的证明文 件（包括但不限于销售协议、代理 协议、原厂授权等），根据所投产 品来源渠道证明文件齐全完整度进 行综合评审。 产品来源渠道供应链完整齐全，可追溯性清晰，得5分； 产品来源渠道供应链不够完整，部分具有可追溯性，得3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根据供应商提供的供货服务方案，主要从以下方面进行评分： ①总体实施服务方案； ②供货安排、仓储、运输计划； ③关键点、重难点分析； 评审标准： 1、完整性：内容全面，对评审内容中的各项要求有详细描述； 2、可行性：切合本项目实际情况，提出步骤清晰的方案； 3、专业性：逻辑性强，具有技术含量、技术水准。 4、针对性：紧扣项目实际情况需求，内容切实合理； 赋分标准： ①总体实施服务方案：每完全满足一个评审标准得2分，基本满足一个评审标准得1分，满分8分； ②供货安排、仓储、运输计划：每完全满足一个评审标准得2分，基本满足一个评审标准得1分，满分8分； ③关键点、重难点分析：每完全满足一个评审标准得2分，基本满足一个评审标准得1分，满分8分；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针对本项目提供详细的质量保证措 施，进行评审。 措施全面、合理、 规范，可操作性强得5分； 措施基本合理，可操作性一般得3分； 措施简略，可操作性不足得1分；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供货进度保证措施</w:t>
            </w:r>
          </w:p>
        </w:tc>
        <w:tc>
          <w:tcPr>
            <w:tcW w:type="dxa" w:w="2492"/>
          </w:tcPr>
          <w:p>
            <w:pPr>
              <w:pStyle w:val="null3"/>
            </w:pPr>
            <w:r>
              <w:rPr>
                <w:rFonts w:ascii="仿宋_GB2312" w:hAnsi="仿宋_GB2312" w:cs="仿宋_GB2312" w:eastAsia="仿宋_GB2312"/>
              </w:rPr>
              <w:t>针对本项目提供详细的供货进度保 证措施，进行评审。 措施全面、合理、规范，可操作性强得5分 ； 措施基本合理，可操作性一般得 3分； 措施简略，可操作性不足得1分；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 保证产、供、销服务正常运转，有 详细的在产品发生不同类型质量问 题后的到达现场时间、解决故障时 间、补救措施等方面的措施或方案 。 售后服务方案科学合理、规范， 可操作性强得6分； 售后服务方 案基本合理，可操作性一般得4 分； 措施简略，可操作性不足得2分；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针对本项目提供详细的培训方案， 进行评审。 方案详细全面、合理、 规范，可操作性强得5分； 方案 基本合理，可操作性一般得3 分； 措施简略，可操作性不足得1分；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2022年1月1日至今（以合同签订日期为准），类似项目业绩，每项1分,总分不超过5分(以合同为准，复印件加盖公章,附在响应文件中）</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经磋商小组一致认定满足磋商文件要求且最后报价最低的磋商报价为评审基准价，其价格分为满分30分。其他供应商的价格统一按照下列公式计算：磋商报价得分=（磋商基准价/最后磋商报价）×30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