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版本号：LZBC2025-71820250604001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西安文理学院关中书院保护修缮工程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LZBC2025-718</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西安文理学院关中书院保护修缮工程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LZBC2025-718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西安文理学院关中书院保护修缮工程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中书院是明清时期陕西著名书院之一，位于西安市碑林区书院门29号（西安文理学院内），东与西安碑林、卧龙禅寺毗邻，西距西安城墙南门100米。关中书院坐北朝南，平面呈“申”字形，纵向呈四进院式布局，中轴线从南至北依次分布石牌坊、一道门厅、二道门厅、允执堂、精一堂和斯道中天阁（已毁）等核心建筑。本次修缮项目仅涉及一道门厅、二道门厅、允执堂、精一堂及东、西厢房6座建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采购包1（西安文理学院关中书院保护修缮工程项目）：属于专门面向中小企业采购。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供应商须具有文物行政部门核发的文物保护工程施工二级及以上资质（业务范围包含古建筑）及建设行政主管部门颁发的安全生产许可证：供应商须具有文物行政部门核发的文物保护工程施工二级及以上资质（业务范围包含古建筑）及建设行政主管部门颁发的安全生产许可证，供应商需在项目电子化交易系统中按要求上传相应证明文件</w:t>
      </w:r>
    </w:p>
    <w:p>
      <w:pPr>
        <w:pStyle w:val="null3"/>
      </w:pPr>
      <w:r>
        <w:rPr>
          <w:rFonts w:ascii="仿宋_GB2312" w:hAnsi="仿宋_GB2312" w:cs="仿宋_GB2312" w:eastAsia="仿宋_GB2312"/>
        </w:rPr>
        <w:t>3、拟派项目经理须具备中国古迹遗址保护协会核发的文物保护工程责任工程师资格证书（业务范围包含古建筑），注册在本单位且提供无在建项目承诺书：拟派项目经理须具备中国古迹遗址保护协会核发的一级文物保护工程责任工程师资格证书（业务范围包含古建筑），注册在本单位且提供无在建项目承诺书，供应商需在项目电子化交易系统中按要求上传相应证明文件（*备注：因电子系统强制设置拟派项目经理资质证书等级的原因故显示为一级，实则拟派项目经理须具备中国古迹遗址保护协会核发的文物保护工程责任工程师资格证书（业务范围包含古建筑），注册在本单位且提供无在建项目承诺书）</w:t>
      </w:r>
    </w:p>
    <w:p>
      <w:pPr>
        <w:pStyle w:val="null3"/>
      </w:pPr>
      <w:r>
        <w:rPr>
          <w:rFonts w:ascii="仿宋_GB2312" w:hAnsi="仿宋_GB2312" w:cs="仿宋_GB2312" w:eastAsia="仿宋_GB2312"/>
        </w:rPr>
        <w:t>4、参加政府采购活动前3年内在经营活动中没有重大违法记录的书面声 明； 其中：重大违法记录是指供应商因违法经营受到刑事处罚或者责令停产停业、吊销许可证或者执照 、较大数额罚款等行政处罚：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6、财务状况报告：财务状况报告：供应商2023年或2024经审计的财务报告（事业法人可提供部门决算报告）或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8、信用要求：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采购包1：3,447,273.79元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代理服务费收费标准：1、本项目采购代理服务费以成交价作为收费基数，参照计价格[2002]1 980号、发改价格[2011]534号、发改办价格〔2003〕857号中工程类执行。 2、成交单位在领取成交通知书之前，须向采购代理机构支付招标代理服务费。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西安文理学院（本级）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 一、交付竣工验收的工程，必须符合规定的工程质量标准，有完整的工程技术经济资料和经签署的工程保修书，并具备国家规定的其他竣工条件。 工程竣工经验收合格后，方可交付使用；未经验收或者验收不合格的，不得交付使用 二、验收结果合格的，采购人应向成交供应商出具履约验收报告，成交供应商凭验收报告办理相关手续。 三、验收结果不合格的，履约保证金将不予退还，给采购人造成的损失超过履约保证金数额的，还应当对超过部分予以赔偿；没有提交履约保证金的，应当对采购人的损失承担赔偿责任。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3,447,273.79</w:t>
      </w:r>
    </w:p>
    <w:p>
      <w:pPr>
        <w:pStyle w:val="null3"/>
      </w:pPr>
      <w:r>
        <w:rPr>
          <w:rFonts w:ascii="仿宋_GB2312" w:hAnsi="仿宋_GB2312" w:cs="仿宋_GB2312" w:eastAsia="仿宋_GB2312"/>
        </w:rPr>
        <w:t>采购包最高限价（元）: 3,447,273.79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西安文理学院关中书院保护修缮工程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3,447,273.79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标的名称：西安文理学院关中书院保护修缮工程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项目概况</w:t>
            </w:r>
          </w:p>
          <w:p>
            <w:pPr>
              <w:pStyle w:val="null3"/>
              <w:jc w:val="both"/>
            </w:pPr>
            <w:r>
              <w:rPr>
                <w:rFonts w:ascii="仿宋_GB2312" w:hAnsi="仿宋_GB2312" w:cs="仿宋_GB2312" w:eastAsia="仿宋_GB2312"/>
                <w:sz w:val="20"/>
              </w:rPr>
              <w:t>关中书院是明清时期陕西著名书院之一，位于西安市碑林区书院门</w:t>
            </w:r>
            <w:r>
              <w:rPr>
                <w:rFonts w:ascii="仿宋_GB2312" w:hAnsi="仿宋_GB2312" w:cs="仿宋_GB2312" w:eastAsia="仿宋_GB2312"/>
                <w:sz w:val="20"/>
              </w:rPr>
              <w:t>29号（西安文理学院内），东与西安碑林、卧龙禅寺毗邻，西距西安城墙南门100米。关中书院坐北朝南，平面呈“申”字形，纵向呈四进院式布局，中轴线从南至北依次分布石牌坊、一道门厅、二道门厅、允执堂、精一堂和斯道中天阁（已毁）等核心建筑。本次修缮项目仅涉及一道门厅、二道门厅、允执堂、精一堂及东、西厢房6座建筑。</w:t>
            </w:r>
          </w:p>
          <w:p>
            <w:pPr>
              <w:pStyle w:val="null3"/>
              <w:jc w:val="both"/>
            </w:pPr>
            <w:r>
              <w:rPr>
                <w:rFonts w:ascii="仿宋_GB2312" w:hAnsi="仿宋_GB2312" w:cs="仿宋_GB2312" w:eastAsia="仿宋_GB2312"/>
                <w:sz w:val="20"/>
              </w:rPr>
              <w:t>二、编制依据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陕西省住房和城乡建设厅文件：《陕西省住房和城乡建设厅关于印发</w:t>
            </w:r>
            <w:r>
              <w:rPr>
                <w:rFonts w:ascii="仿宋_GB2312" w:hAnsi="仿宋_GB2312" w:cs="仿宋_GB2312" w:eastAsia="仿宋_GB2312"/>
                <w:sz w:val="20"/>
              </w:rPr>
              <w:t>2009陕西省建设工程工程量清单计价依据的通知》（陕建发〔2009〕199号）；</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《关于调整陕西省建设工程计价依据的通知》</w:t>
            </w:r>
            <w:r>
              <w:rPr>
                <w:rFonts w:ascii="仿宋_GB2312" w:hAnsi="仿宋_GB2312" w:cs="仿宋_GB2312" w:eastAsia="仿宋_GB2312"/>
                <w:sz w:val="20"/>
              </w:rPr>
              <w:t>(陕建发〔2019〕45号)；</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《关于发布我省落实建筑工人实名制管理计价依据的通知》（陕建发</w:t>
            </w:r>
            <w:r>
              <w:rPr>
                <w:rFonts w:ascii="仿宋_GB2312" w:hAnsi="仿宋_GB2312" w:cs="仿宋_GB2312" w:eastAsia="仿宋_GB2312"/>
                <w:sz w:val="20"/>
              </w:rPr>
              <w:t>〔</w:t>
            </w:r>
            <w:r>
              <w:rPr>
                <w:rFonts w:ascii="仿宋_GB2312" w:hAnsi="仿宋_GB2312" w:cs="仿宋_GB2312" w:eastAsia="仿宋_GB2312"/>
                <w:sz w:val="20"/>
              </w:rPr>
              <w:t>2019〕1246号）；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《关于执行《关于发布我省落实建筑工人实名制管理计价依据的通知》的相关说明</w:t>
            </w:r>
            <w:r>
              <w:rPr>
                <w:rFonts w:ascii="仿宋_GB2312" w:hAnsi="仿宋_GB2312" w:cs="仿宋_GB2312" w:eastAsia="仿宋_GB2312"/>
                <w:sz w:val="20"/>
              </w:rPr>
              <w:t>&gt;（陕建价统发〔2019〕64号）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陕西省住房和城乡建设厅关于建筑施工安全生产责任保险费用计价的通知</w:t>
            </w:r>
            <w:r>
              <w:rPr>
                <w:rFonts w:ascii="仿宋_GB2312" w:hAnsi="仿宋_GB2312" w:cs="仿宋_GB2312" w:eastAsia="仿宋_GB2312"/>
                <w:sz w:val="20"/>
              </w:rPr>
              <w:t>》（</w:t>
            </w:r>
            <w:r>
              <w:rPr>
                <w:rFonts w:ascii="仿宋_GB2312" w:hAnsi="仿宋_GB2312" w:cs="仿宋_GB2312" w:eastAsia="仿宋_GB2312"/>
                <w:sz w:val="20"/>
              </w:rPr>
              <w:t>陕建发〔</w:t>
            </w:r>
            <w:r>
              <w:rPr>
                <w:rFonts w:ascii="仿宋_GB2312" w:hAnsi="仿宋_GB2312" w:cs="仿宋_GB2312" w:eastAsia="仿宋_GB2312"/>
                <w:sz w:val="20"/>
              </w:rPr>
              <w:t>2020〕1097号）；</w:t>
            </w:r>
          </w:p>
          <w:p>
            <w:pPr>
              <w:pStyle w:val="null3"/>
              <w:jc w:val="both"/>
            </w:pPr>
            <w:r>
              <w:rPr>
                <w:rFonts w:ascii="仿宋_GB2312" w:hAnsi="仿宋_GB2312" w:cs="仿宋_GB2312" w:eastAsia="仿宋_GB2312"/>
                <w:sz w:val="20"/>
              </w:rPr>
              <w:t>6、《陕西省住房和城乡建设厅关于全省统一停止收缴建筑业劳保费用得通知》（陕建发</w:t>
            </w:r>
            <w:r>
              <w:rPr>
                <w:rFonts w:ascii="仿宋_GB2312" w:hAnsi="仿宋_GB2312" w:cs="仿宋_GB2312" w:eastAsia="仿宋_GB2312"/>
                <w:sz w:val="20"/>
              </w:rPr>
              <w:t>〔</w:t>
            </w:r>
            <w:r>
              <w:rPr>
                <w:rFonts w:ascii="仿宋_GB2312" w:hAnsi="仿宋_GB2312" w:cs="仿宋_GB2312" w:eastAsia="仿宋_GB2312"/>
                <w:sz w:val="20"/>
              </w:rPr>
              <w:t>2021</w:t>
            </w:r>
            <w:r>
              <w:rPr>
                <w:rFonts w:ascii="仿宋_GB2312" w:hAnsi="仿宋_GB2312" w:cs="仿宋_GB2312" w:eastAsia="仿宋_GB2312"/>
                <w:sz w:val="20"/>
              </w:rPr>
              <w:t>〕</w:t>
            </w:r>
            <w:r>
              <w:rPr>
                <w:rFonts w:ascii="仿宋_GB2312" w:hAnsi="仿宋_GB2312" w:cs="仿宋_GB2312" w:eastAsia="仿宋_GB2312"/>
                <w:sz w:val="20"/>
              </w:rPr>
              <w:t>1021号）；</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、《陕西省建设工程工程量清单计价规则》（</w:t>
            </w:r>
            <w:r>
              <w:rPr>
                <w:rFonts w:ascii="仿宋_GB2312" w:hAnsi="仿宋_GB2312" w:cs="仿宋_GB2312" w:eastAsia="仿宋_GB2312"/>
                <w:sz w:val="20"/>
              </w:rPr>
              <w:t>2009）、《</w:t>
            </w:r>
            <w:r>
              <w:rPr>
                <w:rFonts w:ascii="仿宋_GB2312" w:hAnsi="仿宋_GB2312" w:cs="仿宋_GB2312" w:eastAsia="仿宋_GB2312"/>
                <w:sz w:val="20"/>
              </w:rPr>
              <w:t>陕西省仿古建筑工程计价费率</w:t>
            </w:r>
            <w:r>
              <w:rPr>
                <w:rFonts w:ascii="仿宋_GB2312" w:hAnsi="仿宋_GB2312" w:cs="仿宋_GB2312" w:eastAsia="仿宋_GB2312"/>
                <w:sz w:val="20"/>
              </w:rPr>
              <w:t>》及其配套文件中工程量计算办法；</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陕西仿古建筑工程预算定额</w:t>
            </w:r>
            <w:r>
              <w:rPr>
                <w:rFonts w:ascii="仿宋_GB2312" w:hAnsi="仿宋_GB2312" w:cs="仿宋_GB2312" w:eastAsia="仿宋_GB2312"/>
                <w:sz w:val="20"/>
              </w:rPr>
              <w:t>》（</w:t>
            </w:r>
            <w:r>
              <w:rPr>
                <w:rFonts w:ascii="仿宋_GB2312" w:hAnsi="仿宋_GB2312" w:cs="仿宋_GB2312" w:eastAsia="仿宋_GB2312"/>
                <w:sz w:val="20"/>
              </w:rPr>
              <w:t>2012</w:t>
            </w:r>
            <w:r>
              <w:rPr>
                <w:rFonts w:ascii="仿宋_GB2312" w:hAnsi="仿宋_GB2312" w:cs="仿宋_GB2312" w:eastAsia="仿宋_GB2312"/>
                <w:sz w:val="20"/>
              </w:rPr>
              <w:t>）、《</w:t>
            </w:r>
            <w:r>
              <w:rPr>
                <w:rFonts w:ascii="仿宋_GB2312" w:hAnsi="仿宋_GB2312" w:cs="仿宋_GB2312" w:eastAsia="仿宋_GB2312"/>
                <w:sz w:val="20"/>
              </w:rPr>
              <w:t>全统修缮定额古建工程陕西省价目表</w:t>
            </w:r>
            <w:r>
              <w:rPr>
                <w:rFonts w:ascii="仿宋_GB2312" w:hAnsi="仿宋_GB2312" w:cs="仿宋_GB2312" w:eastAsia="仿宋_GB2312"/>
                <w:sz w:val="20"/>
              </w:rPr>
              <w:t>》（</w:t>
            </w:r>
            <w:r>
              <w:rPr>
                <w:rFonts w:ascii="仿宋_GB2312" w:hAnsi="仿宋_GB2312" w:cs="仿宋_GB2312" w:eastAsia="仿宋_GB2312"/>
                <w:sz w:val="20"/>
              </w:rPr>
              <w:t>2001</w:t>
            </w:r>
            <w:r>
              <w:rPr>
                <w:rFonts w:ascii="仿宋_GB2312" w:hAnsi="仿宋_GB2312" w:cs="仿宋_GB2312" w:eastAsia="仿宋_GB2312"/>
                <w:sz w:val="20"/>
              </w:rPr>
              <w:t>）、《</w:t>
            </w:r>
            <w:r>
              <w:rPr>
                <w:rFonts w:ascii="仿宋_GB2312" w:hAnsi="仿宋_GB2312" w:cs="仿宋_GB2312" w:eastAsia="仿宋_GB2312"/>
                <w:sz w:val="20"/>
              </w:rPr>
              <w:t>全统修缮定额土建工程陕西省价目表</w:t>
            </w:r>
            <w:r>
              <w:rPr>
                <w:rFonts w:ascii="仿宋_GB2312" w:hAnsi="仿宋_GB2312" w:cs="仿宋_GB2312" w:eastAsia="仿宋_GB2312"/>
                <w:sz w:val="20"/>
              </w:rPr>
              <w:t>》（</w:t>
            </w:r>
            <w:r>
              <w:rPr>
                <w:rFonts w:ascii="仿宋_GB2312" w:hAnsi="仿宋_GB2312" w:cs="仿宋_GB2312" w:eastAsia="仿宋_GB2312"/>
                <w:sz w:val="20"/>
              </w:rPr>
              <w:t>2001</w:t>
            </w:r>
            <w:r>
              <w:rPr>
                <w:rFonts w:ascii="仿宋_GB2312" w:hAnsi="仿宋_GB2312" w:cs="仿宋_GB2312" w:eastAsia="仿宋_GB2312"/>
                <w:sz w:val="20"/>
              </w:rPr>
              <w:t>）、《陕西省建筑、装饰工程消耗量定额》（</w:t>
            </w:r>
            <w:r>
              <w:rPr>
                <w:rFonts w:ascii="仿宋_GB2312" w:hAnsi="仿宋_GB2312" w:cs="仿宋_GB2312" w:eastAsia="仿宋_GB2312"/>
                <w:sz w:val="20"/>
              </w:rPr>
              <w:t>2004）、《陕西省建设工程消耗量定额（2004）补充定额）》</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9、《关于调整房屋建筑和市政基础设施工程工程量清单计价综合人工单价的通知》（陕建发</w:t>
            </w:r>
            <w:r>
              <w:rPr>
                <w:rFonts w:ascii="仿宋_GB2312" w:hAnsi="仿宋_GB2312" w:cs="仿宋_GB2312" w:eastAsia="仿宋_GB2312"/>
                <w:sz w:val="20"/>
              </w:rPr>
              <w:t>〔</w:t>
            </w:r>
            <w:r>
              <w:rPr>
                <w:rFonts w:ascii="仿宋_GB2312" w:hAnsi="仿宋_GB2312" w:cs="仿宋_GB2312" w:eastAsia="仿宋_GB2312"/>
                <w:sz w:val="20"/>
              </w:rPr>
              <w:t>2021</w:t>
            </w:r>
            <w:r>
              <w:rPr>
                <w:rFonts w:ascii="仿宋_GB2312" w:hAnsi="仿宋_GB2312" w:cs="仿宋_GB2312" w:eastAsia="仿宋_GB2312"/>
                <w:sz w:val="20"/>
              </w:rPr>
              <w:t>〕</w:t>
            </w:r>
            <w:r>
              <w:rPr>
                <w:rFonts w:ascii="仿宋_GB2312" w:hAnsi="仿宋_GB2312" w:cs="仿宋_GB2312" w:eastAsia="仿宋_GB2312"/>
                <w:sz w:val="20"/>
              </w:rPr>
              <w:t>1097号）文件；</w:t>
            </w:r>
          </w:p>
          <w:p>
            <w:pPr>
              <w:pStyle w:val="null3"/>
              <w:jc w:val="both"/>
            </w:pPr>
            <w:r>
              <w:rPr>
                <w:rFonts w:ascii="仿宋_GB2312" w:hAnsi="仿宋_GB2312" w:cs="仿宋_GB2312" w:eastAsia="仿宋_GB2312"/>
                <w:sz w:val="20"/>
              </w:rPr>
              <w:t>10、相关工程验收规范及标准、正常的施工工艺和施工方法等；</w:t>
            </w:r>
          </w:p>
          <w:p>
            <w:pPr>
              <w:pStyle w:val="null3"/>
              <w:jc w:val="both"/>
            </w:pPr>
            <w:r>
              <w:rPr>
                <w:rFonts w:ascii="仿宋_GB2312" w:hAnsi="仿宋_GB2312" w:cs="仿宋_GB2312" w:eastAsia="仿宋_GB2312"/>
                <w:sz w:val="20"/>
              </w:rPr>
              <w:t>11、材料价格采用陕西省信息价（2025年2月），信息价中没有的采用市场价。</w:t>
            </w:r>
          </w:p>
          <w:p>
            <w:pPr>
              <w:pStyle w:val="null3"/>
              <w:jc w:val="both"/>
            </w:pPr>
            <w:r>
              <w:rPr>
                <w:rFonts w:ascii="仿宋_GB2312" w:hAnsi="仿宋_GB2312" w:cs="仿宋_GB2312" w:eastAsia="仿宋_GB2312"/>
                <w:sz w:val="20"/>
              </w:rPr>
              <w:t>三、编制说明</w:t>
            </w:r>
          </w:p>
          <w:p>
            <w:pPr>
              <w:pStyle w:val="null3"/>
              <w:jc w:val="both"/>
            </w:pPr>
            <w:r>
              <w:rPr>
                <w:rFonts w:ascii="仿宋_GB2312" w:hAnsi="仿宋_GB2312" w:cs="仿宋_GB2312" w:eastAsia="仿宋_GB2312"/>
                <w:sz w:val="20"/>
              </w:rPr>
              <w:t>1、采用广联达软件GCCP6.0（版本号6.4100.12.126）编制；</w:t>
            </w:r>
          </w:p>
          <w:p>
            <w:pPr>
              <w:pStyle w:val="null3"/>
              <w:jc w:val="both"/>
            </w:pPr>
            <w:r>
              <w:rPr>
                <w:rFonts w:ascii="仿宋_GB2312" w:hAnsi="仿宋_GB2312" w:cs="仿宋_GB2312" w:eastAsia="仿宋_GB2312"/>
                <w:sz w:val="20"/>
              </w:rPr>
              <w:t>2、本项目暂列金218156.01元，单独列项计入；</w:t>
            </w:r>
          </w:p>
          <w:p>
            <w:pPr>
              <w:pStyle w:val="null3"/>
              <w:jc w:val="both"/>
            </w:pPr>
            <w:r>
              <w:rPr>
                <w:rFonts w:ascii="仿宋_GB2312" w:hAnsi="仿宋_GB2312" w:cs="仿宋_GB2312" w:eastAsia="仿宋_GB2312"/>
                <w:sz w:val="20"/>
              </w:rPr>
              <w:t>3、石灰采用袋装熟石灰；</w:t>
            </w:r>
          </w:p>
          <w:p>
            <w:pPr>
              <w:pStyle w:val="null3"/>
              <w:jc w:val="both"/>
            </w:pPr>
            <w:r>
              <w:rPr>
                <w:rFonts w:ascii="仿宋_GB2312" w:hAnsi="仿宋_GB2312" w:cs="仿宋_GB2312" w:eastAsia="仿宋_GB2312"/>
                <w:sz w:val="20"/>
              </w:rPr>
              <w:t>4、灰土垫层拆除、新做厚度均按150mm考虑，回填土按外购黄土考虑；</w:t>
            </w:r>
          </w:p>
          <w:p>
            <w:pPr>
              <w:pStyle w:val="null3"/>
              <w:jc w:val="both"/>
            </w:pPr>
            <w:r>
              <w:rPr>
                <w:rFonts w:ascii="仿宋_GB2312" w:hAnsi="仿宋_GB2312" w:cs="仿宋_GB2312" w:eastAsia="仿宋_GB2312"/>
                <w:sz w:val="20"/>
              </w:rPr>
              <w:t>5、屋面瓦利旧率按40%考虑；连檐利旧率按50%考虑；</w:t>
            </w:r>
          </w:p>
          <w:p>
            <w:pPr>
              <w:pStyle w:val="null3"/>
              <w:jc w:val="both"/>
            </w:pPr>
            <w:r>
              <w:rPr>
                <w:rFonts w:ascii="仿宋_GB2312" w:hAnsi="仿宋_GB2312" w:cs="仿宋_GB2312" w:eastAsia="仿宋_GB2312"/>
                <w:sz w:val="20"/>
              </w:rPr>
              <w:t>6、望板按全部更换考虑；</w:t>
            </w:r>
          </w:p>
          <w:p>
            <w:pPr>
              <w:pStyle w:val="null3"/>
              <w:jc w:val="both"/>
            </w:pPr>
            <w:r>
              <w:rPr>
                <w:rFonts w:ascii="仿宋_GB2312" w:hAnsi="仿宋_GB2312" w:cs="仿宋_GB2312" w:eastAsia="仿宋_GB2312"/>
                <w:sz w:val="20"/>
              </w:rPr>
              <w:t>7、木椽：一道门、二道门、东西厢房按4m/根，允执堂、精一堂按2m/根考虑；拆除更换按50%考虑；</w:t>
            </w:r>
          </w:p>
          <w:p>
            <w:pPr>
              <w:pStyle w:val="null3"/>
              <w:jc w:val="both"/>
            </w:pPr>
            <w:r>
              <w:rPr>
                <w:rFonts w:ascii="仿宋_GB2312" w:hAnsi="仿宋_GB2312" w:cs="仿宋_GB2312" w:eastAsia="仿宋_GB2312"/>
                <w:sz w:val="20"/>
              </w:rPr>
              <w:t>8、青砖规格厚度依据回复和现场规格尺寸调整为60mm；</w:t>
            </w:r>
          </w:p>
          <w:p>
            <w:pPr>
              <w:pStyle w:val="null3"/>
              <w:jc w:val="both"/>
            </w:pPr>
            <w:r>
              <w:rPr>
                <w:rFonts w:ascii="仿宋_GB2312" w:hAnsi="仿宋_GB2312" w:cs="仿宋_GB2312" w:eastAsia="仿宋_GB2312"/>
                <w:sz w:val="20"/>
              </w:rPr>
              <w:t>9、柱做法采用：①砍净挠白；②渗桐油；③一麻五灰地仗层施工；④表面三道漆施工；⑤罩光油一道；</w:t>
            </w:r>
          </w:p>
          <w:p>
            <w:pPr>
              <w:pStyle w:val="null3"/>
              <w:jc w:val="both"/>
            </w:pPr>
            <w:r>
              <w:rPr>
                <w:rFonts w:ascii="仿宋_GB2312" w:hAnsi="仿宋_GB2312" w:cs="仿宋_GB2312" w:eastAsia="仿宋_GB2312"/>
                <w:sz w:val="20"/>
              </w:rPr>
              <w:t>10、椽望做法采用：①砍净挠白；②渗桐油；③三道灰施工；④刷醇酸调和漆3道；</w:t>
            </w:r>
          </w:p>
          <w:p>
            <w:pPr>
              <w:pStyle w:val="null3"/>
              <w:jc w:val="both"/>
            </w:pPr>
            <w:r>
              <w:rPr>
                <w:rFonts w:ascii="仿宋_GB2312" w:hAnsi="仿宋_GB2312" w:cs="仿宋_GB2312" w:eastAsia="仿宋_GB2312"/>
                <w:sz w:val="20"/>
              </w:rPr>
              <w:t>11、木装修油饰采用：①门窗砍净挠白；②渗桐油；③批刮血料腻子三道；④涂刷醇酸调和漆3道；⑤罩光油一道；</w:t>
            </w:r>
          </w:p>
          <w:p>
            <w:pPr>
              <w:pStyle w:val="null3"/>
              <w:jc w:val="both"/>
            </w:pPr>
            <w:r>
              <w:rPr>
                <w:rFonts w:ascii="仿宋_GB2312" w:hAnsi="仿宋_GB2312" w:cs="仿宋_GB2312" w:eastAsia="仿宋_GB2312"/>
                <w:sz w:val="20"/>
              </w:rPr>
              <w:t>12、排水天沟做法按沥青油毡屋面，三毡四油一砂考虑；</w:t>
            </w:r>
          </w:p>
          <w:p>
            <w:pPr>
              <w:pStyle w:val="null3"/>
              <w:jc w:val="both"/>
            </w:pPr>
            <w:r>
              <w:rPr>
                <w:rFonts w:ascii="仿宋_GB2312" w:hAnsi="仿宋_GB2312" w:cs="仿宋_GB2312" w:eastAsia="仿宋_GB2312"/>
                <w:sz w:val="20"/>
              </w:rPr>
              <w:t>13、西侧地下室空洞加固及东、西长廊不在本次编制范围。</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、施工内容</w:t>
            </w:r>
          </w:p>
          <w:p>
            <w:pPr>
              <w:pStyle w:val="null3"/>
              <w:jc w:val="both"/>
            </w:pPr>
            <w:r>
              <w:rPr>
                <w:rFonts w:ascii="仿宋_GB2312" w:hAnsi="仿宋_GB2312" w:cs="仿宋_GB2312" w:eastAsia="仿宋_GB2312"/>
                <w:sz w:val="21"/>
              </w:rPr>
              <w:t>1.一道门：（1）屋面修缮（2）椽望更换腐朽椽及望板，三道灰及刷漆（3）柱子一麻五灰及刷漆（4）室外地面拆除及更换（5）门窗三道灰及刷漆（6）室内地面拆除及更换，拆除墙面，重新粉刷墙面，拆除吊顶等</w:t>
            </w:r>
          </w:p>
          <w:p>
            <w:pPr>
              <w:pStyle w:val="null3"/>
            </w:pPr>
            <w:r>
              <w:rPr>
                <w:rFonts w:ascii="仿宋_GB2312" w:hAnsi="仿宋_GB2312" w:cs="仿宋_GB2312" w:eastAsia="仿宋_GB2312"/>
                <w:sz w:val="21"/>
              </w:rPr>
              <w:t>2. 二道门：（1）屋面修缮（2）椽望更换腐朽椽及望板，三道灰及刷漆（3）更换腐朽柱子，柱子一麻五灰及刷漆（4）室外地面拆除及更换（5）门窗三道灰及刷漆（6）室内地面拆除及更换，拆除墙面，重新粉刷墙面，拆除吊顶等</w:t>
            </w:r>
          </w:p>
          <w:p>
            <w:pPr>
              <w:pStyle w:val="null3"/>
            </w:pPr>
            <w:r>
              <w:rPr>
                <w:rFonts w:ascii="仿宋_GB2312" w:hAnsi="仿宋_GB2312" w:cs="仿宋_GB2312" w:eastAsia="仿宋_GB2312"/>
                <w:sz w:val="21"/>
              </w:rPr>
              <w:t>3.允执堂：（1）屋面修缮（2）椽望更换腐朽椽及望板，三道灰及刷漆（3）柱子一麻五灰及刷漆（4）室外地面拆除及更换（5）门窗三道灰及刷漆等</w:t>
            </w:r>
          </w:p>
          <w:p>
            <w:pPr>
              <w:pStyle w:val="null3"/>
            </w:pPr>
            <w:r>
              <w:rPr>
                <w:rFonts w:ascii="仿宋_GB2312" w:hAnsi="仿宋_GB2312" w:cs="仿宋_GB2312" w:eastAsia="仿宋_GB2312"/>
                <w:sz w:val="21"/>
              </w:rPr>
              <w:t>4.精一堂：（1）屋面修缮（2）椽望更换腐朽椽及望板，三道灰及刷漆（3）更换腐朽柱子，柱子一麻五灰及刷漆（4）室内地面拆除及更换（5）门窗三道灰及刷漆（6）室内重新粉刷墙面，拆除吊顶（7）院内地面拆除及更换等</w:t>
            </w:r>
          </w:p>
          <w:p>
            <w:pPr>
              <w:pStyle w:val="null3"/>
            </w:pPr>
            <w:r>
              <w:rPr>
                <w:rFonts w:ascii="仿宋_GB2312" w:hAnsi="仿宋_GB2312" w:cs="仿宋_GB2312" w:eastAsia="仿宋_GB2312"/>
                <w:sz w:val="21"/>
              </w:rPr>
              <w:t>5.东厢房：（1）屋面修缮（2）椽望更换腐朽椽及望板，三道灰及刷漆（3）柱子一麻五灰及刷漆（4）室内地面拆除及更换（5）门窗三道灰及刷漆（6）室内重新粉刷墙面，拆除吊顶等</w:t>
            </w:r>
          </w:p>
          <w:p>
            <w:pPr>
              <w:pStyle w:val="null3"/>
            </w:pPr>
            <w:r>
              <w:rPr>
                <w:rFonts w:ascii="仿宋_GB2312" w:hAnsi="仿宋_GB2312" w:cs="仿宋_GB2312" w:eastAsia="仿宋_GB2312"/>
                <w:sz w:val="21"/>
              </w:rPr>
              <w:t>6.西厢房：（1）屋面修缮（2）椽望更换腐朽椽及望板，三道灰及刷漆（3）柱子一麻五灰及刷漆（4）室内地面拆除及更换（5）门窗三道灰及刷漆（6）室内重新粉刷墙面，拆除吊顶等</w:t>
            </w:r>
          </w:p>
          <w:p>
            <w:pPr>
              <w:pStyle w:val="null3"/>
              <w:jc w:val="both"/>
            </w:pPr>
            <w:r>
              <w:rPr>
                <w:rFonts w:ascii="仿宋_GB2312" w:hAnsi="仿宋_GB2312" w:cs="仿宋_GB2312" w:eastAsia="仿宋_GB2312"/>
                <w:sz w:val="20"/>
              </w:rPr>
              <w:t>五、工程要求</w:t>
            </w:r>
          </w:p>
          <w:p>
            <w:pPr>
              <w:pStyle w:val="null3"/>
              <w:spacing w:after="120"/>
              <w:jc w:val="both"/>
            </w:pPr>
            <w:r>
              <w:rPr>
                <w:rFonts w:ascii="仿宋_GB2312" w:hAnsi="仿宋_GB2312" w:cs="仿宋_GB2312" w:eastAsia="仿宋_GB2312"/>
                <w:sz w:val="20"/>
              </w:rPr>
              <w:t>工期：合同签订之日起</w:t>
            </w:r>
            <w:r>
              <w:rPr>
                <w:rFonts w:ascii="仿宋_GB2312" w:hAnsi="仿宋_GB2312" w:cs="仿宋_GB2312" w:eastAsia="仿宋_GB2312"/>
                <w:sz w:val="20"/>
              </w:rPr>
              <w:t>30个日历日</w:t>
            </w:r>
          </w:p>
          <w:p>
            <w:pPr>
              <w:pStyle w:val="null3"/>
              <w:spacing w:after="120"/>
              <w:jc w:val="both"/>
            </w:pPr>
            <w:r>
              <w:rPr>
                <w:rFonts w:ascii="仿宋_GB2312" w:hAnsi="仿宋_GB2312" w:cs="仿宋_GB2312" w:eastAsia="仿宋_GB2312"/>
                <w:sz w:val="20"/>
              </w:rPr>
              <w:t>质保要求：自竣工验收合格之日起</w:t>
            </w:r>
            <w:r>
              <w:rPr>
                <w:rFonts w:ascii="仿宋_GB2312" w:hAnsi="仿宋_GB2312" w:cs="仿宋_GB2312" w:eastAsia="仿宋_GB2312"/>
                <w:sz w:val="20"/>
              </w:rPr>
              <w:t>2 年。</w:t>
            </w:r>
          </w:p>
          <w:p>
            <w:pPr>
              <w:pStyle w:val="null3"/>
              <w:jc w:val="both"/>
            </w:pPr>
            <w:r>
              <w:rPr>
                <w:rFonts w:ascii="仿宋_GB2312" w:hAnsi="仿宋_GB2312" w:cs="仿宋_GB2312" w:eastAsia="仿宋_GB2312"/>
                <w:sz w:val="20"/>
              </w:rPr>
              <w:t>工程质量：达到国家及地方现行验收规范</w:t>
            </w:r>
            <w:r>
              <w:rPr>
                <w:rFonts w:ascii="仿宋_GB2312" w:hAnsi="仿宋_GB2312" w:cs="仿宋_GB2312" w:eastAsia="仿宋_GB2312"/>
                <w:sz w:val="20"/>
              </w:rPr>
              <w:t>“合格”标准。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（二）需要落实的政府采购政策：1、《国务院办公厅关于建立政府强制采购节能产品制度的通知》（国办发〔2007〕51号）2、《财政部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三）本项目为综合单价合同，最终固定单价以最终总报价/首次总报价的比例等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供应商须具有文物行政部门核发的文物保护工程施工二级及以上资质（业务范围包含古建筑）及建设行政主管部门颁发的安全生产许可证</w:t>
            </w:r>
          </w:p>
        </w:tc>
        <w:tc>
          <w:tcPr>
            <w:tcW w:type="dxa" w:w="3322"/>
          </w:tcPr>
          <w:p>
            <w:pPr>
              <w:pStyle w:val="null3"/>
            </w:pPr>
            <w:r>
              <w:rPr>
                <w:rFonts w:ascii="仿宋_GB2312" w:hAnsi="仿宋_GB2312" w:cs="仿宋_GB2312" w:eastAsia="仿宋_GB2312"/>
              </w:rPr>
              <w:t>供应商须具有文物行政部门核发的文物保护工程施工二级及以上资质（业务范围包含古建筑）及建设行政主管部门颁发的安全生产许可证，供应商需在项目电子化交易系统中按要求上传相应证明文件</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拟派项目经理须具备中国古迹遗址保护协会核发的文物保护工程责任工程师资格证书（业务范围包含古建筑），注册在本单位且提供无在建项目承诺书</w:t>
            </w:r>
          </w:p>
        </w:tc>
        <w:tc>
          <w:tcPr>
            <w:tcW w:type="dxa" w:w="3322"/>
          </w:tcPr>
          <w:p>
            <w:pPr>
              <w:pStyle w:val="null3"/>
            </w:pPr>
            <w:r>
              <w:rPr>
                <w:rFonts w:ascii="仿宋_GB2312" w:hAnsi="仿宋_GB2312" w:cs="仿宋_GB2312" w:eastAsia="仿宋_GB2312"/>
              </w:rPr>
              <w:t>拟派项目经理须具备中国古迹遗址保护协会核发的一级文物保护工程责任工程师资格证书（业务范围包含古建筑），注册在本单位且提供无在建项目承诺书，供应商需在项目电子化交易系统中按要求上传相应证明文件（*备注：因电子系统强制设置拟派项目经理资质证书等级的原因故显示为一级，实则拟派项目经理须具备中国古迹遗址保护协会核发的文物保护工程责任工程师资格证书（业务范围包含古建筑），注册在本单位且提供无在建项目承诺书）</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 明； 其中：重大违法记录是指供应商因违法经营受到刑事处罚或者责令停产停业、吊销许可证或者执照 、较大数额罚款等行政处罚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2023年或2024经审计的财务报告（事业法人可提供部门决算报告）或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整个项目施工的具体方案。 赋分标准：（1）完整性（2）针对性（3）可操作性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确保工程质量的技术组织措施 赋分标准：（1）完整性（2）针对性（3）可操作性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施工总进度计划及保证措施 赋分标准：（1）完整性（2）针对性（3）可操作性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项目组织管理及项目人员组成</w:t>
            </w:r>
          </w:p>
        </w:tc>
        <w:tc>
          <w:tcPr>
            <w:tcW w:type="dxa" w:w="2492"/>
          </w:tcPr>
          <w:p>
            <w:pPr>
              <w:pStyle w:val="null3"/>
            </w:pPr>
            <w:r>
              <w:rPr>
                <w:rFonts w:ascii="仿宋_GB2312" w:hAnsi="仿宋_GB2312" w:cs="仿宋_GB2312" w:eastAsia="仿宋_GB2312"/>
              </w:rPr>
              <w:t>项目组织管理机构，项目经理及项目实施的人员组成情况 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文明施工及环境保护</w:t>
            </w:r>
          </w:p>
        </w:tc>
        <w:tc>
          <w:tcPr>
            <w:tcW w:type="dxa" w:w="2492"/>
          </w:tcPr>
          <w:p>
            <w:pPr>
              <w:pStyle w:val="null3"/>
            </w:pPr>
            <w:r>
              <w:rPr>
                <w:rFonts w:ascii="仿宋_GB2312" w:hAnsi="仿宋_GB2312" w:cs="仿宋_GB2312" w:eastAsia="仿宋_GB2312"/>
              </w:rPr>
              <w:t>确保文明施工的技术组织措施及环境保护（噪音、扬尘）措施 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协调工作及应急措施</w:t>
            </w:r>
          </w:p>
        </w:tc>
        <w:tc>
          <w:tcPr>
            <w:tcW w:type="dxa" w:w="2492"/>
          </w:tcPr>
          <w:p>
            <w:pPr>
              <w:pStyle w:val="null3"/>
            </w:pPr>
            <w:r>
              <w:rPr>
                <w:rFonts w:ascii="仿宋_GB2312" w:hAnsi="仿宋_GB2312" w:cs="仿宋_GB2312" w:eastAsia="仿宋_GB2312"/>
              </w:rPr>
              <w:t>确保项目正常实施的协调工作及在施工过程中发生紧急情况时的应急措施 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确保安全的生产技术组织措施</w:t>
            </w:r>
          </w:p>
        </w:tc>
        <w:tc>
          <w:tcPr>
            <w:tcW w:type="dxa" w:w="2492"/>
          </w:tcPr>
          <w:p>
            <w:pPr>
              <w:pStyle w:val="null3"/>
            </w:pPr>
            <w:r>
              <w:rPr>
                <w:rFonts w:ascii="仿宋_GB2312" w:hAnsi="仿宋_GB2312" w:cs="仿宋_GB2312" w:eastAsia="仿宋_GB2312"/>
              </w:rPr>
              <w:t>确保安全的生产技术组织措施 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文物保护设施布置方案</w:t>
            </w:r>
          </w:p>
        </w:tc>
        <w:tc>
          <w:tcPr>
            <w:tcW w:type="dxa" w:w="2492"/>
          </w:tcPr>
          <w:p>
            <w:pPr>
              <w:pStyle w:val="null3"/>
            </w:pPr>
            <w:r>
              <w:rPr>
                <w:rFonts w:ascii="仿宋_GB2312" w:hAnsi="仿宋_GB2312" w:cs="仿宋_GB2312" w:eastAsia="仿宋_GB2312"/>
              </w:rPr>
              <w:t>针对本项目文物保护提供施工平面、临时设施布置方案 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质量保护措施与承诺及成品保护措施</w:t>
            </w:r>
          </w:p>
        </w:tc>
        <w:tc>
          <w:tcPr>
            <w:tcW w:type="dxa" w:w="2492"/>
          </w:tcPr>
          <w:p>
            <w:pPr>
              <w:pStyle w:val="null3"/>
            </w:pPr>
            <w:r>
              <w:rPr>
                <w:rFonts w:ascii="仿宋_GB2312" w:hAnsi="仿宋_GB2312" w:cs="仿宋_GB2312" w:eastAsia="仿宋_GB2312"/>
              </w:rPr>
              <w:t>古建筑维护质量保护措施与承诺及成品保护措施 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资料留存完备措施</w:t>
            </w:r>
          </w:p>
        </w:tc>
        <w:tc>
          <w:tcPr>
            <w:tcW w:type="dxa" w:w="2492"/>
          </w:tcPr>
          <w:p>
            <w:pPr>
              <w:pStyle w:val="null3"/>
            </w:pPr>
            <w:r>
              <w:rPr>
                <w:rFonts w:ascii="仿宋_GB2312" w:hAnsi="仿宋_GB2312" w:cs="仿宋_GB2312" w:eastAsia="仿宋_GB2312"/>
              </w:rPr>
              <w:t>针对本项目的文物保护专业资料留存完备措施 赋分标准：（1）合理性（2）针对性（3）可操作性 方案各部分内容全面、阐述条理清晰详尽、符合本项目采购需求且描述详细得6分，若赋分点响应程度有欠缺则该点得1分，未响应不得分。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2022年3月以来承接过类似项目的合同证明（以合同的签订日期为准）（每提供一个得2分，满分1 0分）（合同内容须清晰可辨认， 无涂改，否则视为无效合同）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详见附件：拟签订采购合同文本--固定单价.docx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