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F4E70">
      <w:pPr>
        <w:pStyle w:val="9"/>
        <w:spacing w:line="360" w:lineRule="auto"/>
        <w:ind w:firstLine="723" w:firstLineChars="200"/>
        <w:jc w:val="center"/>
        <w:rPr>
          <w:rFonts w:hint="default" w:hAnsi="宋体" w:eastAsia="宋体" w:cs="仿宋"/>
          <w:b/>
          <w:bCs/>
          <w:color w:val="auto"/>
          <w:sz w:val="36"/>
          <w:szCs w:val="36"/>
          <w:highlight w:val="none"/>
          <w:lang w:val="en-US" w:eastAsia="zh-CN"/>
        </w:rPr>
      </w:pPr>
      <w:r>
        <w:rPr>
          <w:rFonts w:hint="eastAsia" w:hAnsi="宋体" w:eastAsia="宋体" w:cs="仿宋"/>
          <w:b/>
          <w:bCs/>
          <w:color w:val="auto"/>
          <w:sz w:val="36"/>
          <w:szCs w:val="36"/>
          <w:highlight w:val="none"/>
          <w:lang w:val="en-US" w:eastAsia="zh-CN"/>
        </w:rPr>
        <w:t>第三方参与“医疗保障基金常态化监管工作”</w:t>
      </w:r>
    </w:p>
    <w:p w14:paraId="6FD0D4C4">
      <w:pPr>
        <w:pStyle w:val="9"/>
        <w:spacing w:line="360" w:lineRule="auto"/>
        <w:ind w:firstLine="723" w:firstLineChars="200"/>
        <w:jc w:val="center"/>
        <w:rPr>
          <w:rFonts w:hint="default" w:hAnsi="宋体" w:eastAsia="宋体" w:cs="仿宋"/>
          <w:b/>
          <w:bCs/>
          <w:color w:val="auto"/>
          <w:sz w:val="36"/>
          <w:szCs w:val="36"/>
          <w:highlight w:val="none"/>
          <w:lang w:val="en-US" w:eastAsia="zh-CN"/>
        </w:rPr>
      </w:pPr>
      <w:r>
        <w:rPr>
          <w:rFonts w:hint="eastAsia" w:hAnsi="宋体" w:eastAsia="宋体" w:cs="仿宋"/>
          <w:b/>
          <w:bCs/>
          <w:color w:val="auto"/>
          <w:sz w:val="36"/>
          <w:szCs w:val="36"/>
          <w:highlight w:val="none"/>
          <w:lang w:val="en-US" w:eastAsia="zh-CN"/>
        </w:rPr>
        <w:t>服务合同</w:t>
      </w:r>
    </w:p>
    <w:p w14:paraId="4F0D659F">
      <w:pPr>
        <w:pStyle w:val="9"/>
        <w:spacing w:line="360" w:lineRule="auto"/>
        <w:ind w:firstLine="420" w:firstLineChars="200"/>
        <w:rPr>
          <w:rFonts w:hint="eastAsia" w:hAnsi="宋体" w:eastAsia="宋体" w:cs="仿宋"/>
          <w:color w:val="auto"/>
          <w:sz w:val="21"/>
          <w:szCs w:val="21"/>
          <w:highlight w:val="none"/>
        </w:rPr>
      </w:pPr>
    </w:p>
    <w:p w14:paraId="1A965CE7">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根据《中华人民共和国政府采购法》、《中华人民共和国民法典》等有关法律法规规定，</w:t>
      </w:r>
      <w:r>
        <w:rPr>
          <w:rFonts w:hint="eastAsia" w:hAnsi="宋体" w:eastAsia="宋体" w:cs="仿宋"/>
          <w:color w:val="auto"/>
          <w:sz w:val="21"/>
          <w:szCs w:val="21"/>
          <w:highlight w:val="none"/>
          <w:u w:val="single"/>
        </w:rPr>
        <w:t>西安市医疗保障局（</w:t>
      </w:r>
      <w:r>
        <w:rPr>
          <w:rFonts w:hint="eastAsia" w:hAnsi="宋体" w:eastAsia="宋体" w:cs="仿宋"/>
          <w:color w:val="auto"/>
          <w:sz w:val="21"/>
          <w:szCs w:val="21"/>
          <w:highlight w:val="none"/>
        </w:rPr>
        <w:t>采购人名称）(以下简称：“甲方”)通过</w:t>
      </w:r>
      <w:r>
        <w:rPr>
          <w:rFonts w:hint="eastAsia" w:hAnsi="宋体" w:eastAsia="宋体" w:cs="仿宋"/>
          <w:color w:val="auto"/>
          <w:sz w:val="21"/>
          <w:szCs w:val="21"/>
          <w:highlight w:val="none"/>
          <w:u w:val="single"/>
        </w:rPr>
        <w:t>竞争性磋商</w:t>
      </w:r>
      <w:r>
        <w:rPr>
          <w:rFonts w:hint="eastAsia" w:hAnsi="宋体" w:eastAsia="宋体" w:cs="仿宋"/>
          <w:color w:val="auto"/>
          <w:sz w:val="21"/>
          <w:szCs w:val="21"/>
          <w:highlight w:val="none"/>
        </w:rPr>
        <w:t>(采购方式)确定</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rPr>
        <w:t>(</w:t>
      </w:r>
      <w:r>
        <w:rPr>
          <w:rFonts w:hint="eastAsia" w:hAnsi="宋体" w:eastAsia="宋体" w:cs="仿宋"/>
          <w:color w:val="auto"/>
          <w:sz w:val="21"/>
          <w:szCs w:val="21"/>
          <w:highlight w:val="none"/>
          <w:lang w:eastAsia="zh-CN"/>
        </w:rPr>
        <w:t>成交供应商</w:t>
      </w:r>
      <w:r>
        <w:rPr>
          <w:rFonts w:hint="eastAsia" w:hAnsi="宋体" w:eastAsia="宋体" w:cs="仿宋"/>
          <w:color w:val="auto"/>
          <w:sz w:val="21"/>
          <w:szCs w:val="21"/>
          <w:highlight w:val="none"/>
        </w:rPr>
        <w:t>名称)(以下简称：“乙方”)为</w:t>
      </w:r>
      <w:r>
        <w:rPr>
          <w:rFonts w:hint="eastAsia" w:hAnsi="宋体" w:eastAsia="宋体" w:cs="仿宋"/>
          <w:color w:val="auto"/>
          <w:sz w:val="21"/>
          <w:szCs w:val="21"/>
          <w:highlight w:val="none"/>
          <w:u w:val="single"/>
          <w:lang w:eastAsia="zh-CN"/>
        </w:rPr>
        <w:t>第三方参与“医疗保障基金常态化监管工作”（</w:t>
      </w:r>
      <w:r>
        <w:rPr>
          <w:rFonts w:hint="eastAsia" w:hAnsi="宋体" w:eastAsia="宋体" w:cs="仿宋"/>
          <w:color w:val="auto"/>
          <w:sz w:val="21"/>
          <w:szCs w:val="21"/>
          <w:highlight w:val="none"/>
          <w:u w:val="single"/>
        </w:rPr>
        <w:t>采购项目编号：</w:t>
      </w:r>
      <w:r>
        <w:rPr>
          <w:rFonts w:hint="eastAsia" w:hAnsi="宋体" w:eastAsia="宋体" w:cs="仿宋"/>
          <w:color w:val="auto"/>
          <w:sz w:val="21"/>
          <w:szCs w:val="21"/>
          <w:highlight w:val="none"/>
          <w:u w:val="single"/>
          <w:lang w:eastAsia="zh-CN"/>
        </w:rPr>
        <w:t>DZDL-2025-016Z）</w:t>
      </w:r>
      <w:r>
        <w:rPr>
          <w:rFonts w:hint="eastAsia" w:hAnsi="宋体" w:eastAsia="宋体" w:cs="仿宋"/>
          <w:color w:val="auto"/>
          <w:sz w:val="21"/>
          <w:szCs w:val="21"/>
          <w:highlight w:val="none"/>
        </w:rPr>
        <w:t>的</w:t>
      </w:r>
      <w:r>
        <w:rPr>
          <w:rFonts w:hint="eastAsia" w:hAnsi="宋体" w:eastAsia="宋体" w:cs="仿宋"/>
          <w:color w:val="auto"/>
          <w:sz w:val="21"/>
          <w:szCs w:val="21"/>
          <w:highlight w:val="none"/>
          <w:u w:val="single"/>
        </w:rPr>
        <w:t>成交供应商</w:t>
      </w:r>
      <w:r>
        <w:rPr>
          <w:rFonts w:hint="eastAsia" w:hAnsi="宋体" w:eastAsia="宋体" w:cs="仿宋"/>
          <w:color w:val="auto"/>
          <w:sz w:val="21"/>
          <w:szCs w:val="21"/>
          <w:highlight w:val="none"/>
        </w:rPr>
        <w:t>。甲乙双方经过友好协商，同意签署</w:t>
      </w:r>
      <w:r>
        <w:rPr>
          <w:rFonts w:hint="eastAsia" w:hAnsi="宋体" w:eastAsia="宋体" w:cs="仿宋"/>
          <w:color w:val="auto"/>
          <w:sz w:val="21"/>
          <w:szCs w:val="21"/>
          <w:highlight w:val="none"/>
          <w:u w:val="single"/>
        </w:rPr>
        <w:t>《</w:t>
      </w:r>
      <w:r>
        <w:rPr>
          <w:rFonts w:hint="eastAsia" w:hAnsi="宋体" w:eastAsia="宋体" w:cs="仿宋"/>
          <w:color w:val="auto"/>
          <w:sz w:val="21"/>
          <w:szCs w:val="21"/>
          <w:highlight w:val="none"/>
          <w:u w:val="single"/>
          <w:lang w:eastAsia="zh-CN"/>
        </w:rPr>
        <w:t>第三方参与“医疗保障基金常态化监管工作”</w:t>
      </w:r>
      <w:r>
        <w:rPr>
          <w:rFonts w:hint="eastAsia" w:hAnsi="宋体" w:eastAsia="宋体" w:cs="仿宋"/>
          <w:color w:val="auto"/>
          <w:sz w:val="21"/>
          <w:szCs w:val="21"/>
          <w:highlight w:val="none"/>
          <w:u w:val="single"/>
          <w:lang w:val="en-US" w:eastAsia="zh-CN"/>
        </w:rPr>
        <w:t>服务</w:t>
      </w:r>
      <w:r>
        <w:rPr>
          <w:rFonts w:hint="eastAsia" w:hAnsi="宋体" w:eastAsia="宋体" w:cs="仿宋"/>
          <w:color w:val="auto"/>
          <w:sz w:val="21"/>
          <w:szCs w:val="21"/>
          <w:highlight w:val="none"/>
          <w:u w:val="single"/>
        </w:rPr>
        <w:t>合同</w:t>
      </w:r>
      <w:r>
        <w:rPr>
          <w:rFonts w:hint="eastAsia" w:hAnsi="宋体" w:eastAsia="宋体" w:cs="仿宋"/>
          <w:color w:val="auto"/>
          <w:sz w:val="21"/>
          <w:szCs w:val="21"/>
          <w:highlight w:val="none"/>
        </w:rPr>
        <w:t>》(以下简称：“合同”)。</w:t>
      </w:r>
    </w:p>
    <w:p w14:paraId="5E5BAD34">
      <w:pPr>
        <w:pStyle w:val="9"/>
        <w:spacing w:line="360" w:lineRule="auto"/>
        <w:rPr>
          <w:rFonts w:hAnsi="宋体" w:eastAsia="宋体" w:cs="仿宋"/>
          <w:b/>
          <w:bCs/>
          <w:color w:val="auto"/>
          <w:sz w:val="21"/>
          <w:szCs w:val="21"/>
          <w:highlight w:val="none"/>
        </w:rPr>
      </w:pPr>
      <w:r>
        <w:rPr>
          <w:rFonts w:hint="eastAsia" w:hAnsi="宋体" w:eastAsia="宋体" w:cs="仿宋"/>
          <w:b/>
          <w:bCs/>
          <w:color w:val="auto"/>
          <w:sz w:val="21"/>
          <w:szCs w:val="21"/>
          <w:highlight w:val="none"/>
        </w:rPr>
        <w:t>1.合同文件</w:t>
      </w:r>
    </w:p>
    <w:p w14:paraId="596D54EA">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下列文件是构成本合同不可分割的部分：</w:t>
      </w:r>
    </w:p>
    <w:p w14:paraId="6F705E7E">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(1)合同条款；</w:t>
      </w:r>
    </w:p>
    <w:p w14:paraId="4866FE56">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(2)成交通知书；</w:t>
      </w:r>
    </w:p>
    <w:p w14:paraId="5F44452B">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(3)竞争性磋商文件</w:t>
      </w:r>
    </w:p>
    <w:p w14:paraId="3D1B93F4">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(4)竞争性磋商响应文件；</w:t>
      </w:r>
    </w:p>
    <w:p w14:paraId="1C528844">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(5)其他。</w:t>
      </w:r>
    </w:p>
    <w:p w14:paraId="60C8F519">
      <w:pPr>
        <w:pStyle w:val="9"/>
        <w:spacing w:line="360" w:lineRule="auto"/>
        <w:rPr>
          <w:rFonts w:hint="eastAsia" w:hAnsi="宋体" w:eastAsia="宋体" w:cs="仿宋"/>
          <w:b/>
          <w:bCs/>
          <w:color w:val="auto"/>
          <w:sz w:val="21"/>
          <w:szCs w:val="21"/>
          <w:highlight w:val="none"/>
        </w:rPr>
      </w:pPr>
      <w:r>
        <w:rPr>
          <w:rFonts w:hint="eastAsia" w:hAnsi="宋体" w:eastAsia="宋体" w:cs="仿宋"/>
          <w:b/>
          <w:bCs/>
          <w:color w:val="auto"/>
          <w:sz w:val="21"/>
          <w:szCs w:val="21"/>
          <w:highlight w:val="none"/>
        </w:rPr>
        <w:t>2.合同标的(根据实际情况填写)</w:t>
      </w:r>
    </w:p>
    <w:tbl>
      <w:tblPr>
        <w:tblStyle w:val="14"/>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451"/>
        <w:gridCol w:w="451"/>
        <w:gridCol w:w="846"/>
        <w:gridCol w:w="800"/>
        <w:gridCol w:w="5446"/>
      </w:tblGrid>
      <w:tr w14:paraId="6241C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91" w:type="dxa"/>
            <w:vAlign w:val="center"/>
          </w:tcPr>
          <w:p w14:paraId="527B2828">
            <w:pPr>
              <w:pStyle w:val="9"/>
              <w:spacing w:line="240" w:lineRule="auto"/>
              <w:jc w:val="center"/>
              <w:rPr>
                <w:rFonts w:hAnsi="宋体" w:eastAsia="宋体" w:cs="仿宋"/>
                <w:b/>
                <w:bCs/>
                <w:color w:val="auto"/>
                <w:sz w:val="21"/>
                <w:szCs w:val="21"/>
                <w:highlight w:val="none"/>
              </w:rPr>
            </w:pPr>
            <w:r>
              <w:rPr>
                <w:rFonts w:hint="eastAsia" w:hAnsi="宋体" w:eastAsia="宋体" w:cs="仿宋"/>
                <w:b/>
                <w:bCs/>
                <w:color w:val="auto"/>
                <w:sz w:val="21"/>
                <w:szCs w:val="21"/>
                <w:highlight w:val="none"/>
              </w:rPr>
              <w:t>名称</w:t>
            </w:r>
          </w:p>
        </w:tc>
        <w:tc>
          <w:tcPr>
            <w:tcW w:w="451" w:type="dxa"/>
            <w:vAlign w:val="center"/>
          </w:tcPr>
          <w:p w14:paraId="1C210FBD">
            <w:pPr>
              <w:pStyle w:val="9"/>
              <w:spacing w:line="240" w:lineRule="auto"/>
              <w:jc w:val="center"/>
              <w:rPr>
                <w:rFonts w:hAnsi="宋体" w:eastAsia="宋体" w:cs="仿宋"/>
                <w:b/>
                <w:bCs/>
                <w:color w:val="auto"/>
                <w:sz w:val="21"/>
                <w:szCs w:val="21"/>
                <w:highlight w:val="none"/>
              </w:rPr>
            </w:pPr>
            <w:r>
              <w:rPr>
                <w:rFonts w:hint="eastAsia" w:hAnsi="宋体" w:eastAsia="宋体" w:cs="仿宋"/>
                <w:b/>
                <w:bCs/>
                <w:color w:val="auto"/>
                <w:sz w:val="21"/>
                <w:szCs w:val="21"/>
                <w:highlight w:val="none"/>
              </w:rPr>
              <w:t>数量</w:t>
            </w:r>
          </w:p>
        </w:tc>
        <w:tc>
          <w:tcPr>
            <w:tcW w:w="451" w:type="dxa"/>
            <w:vAlign w:val="center"/>
          </w:tcPr>
          <w:p w14:paraId="419424F5">
            <w:pPr>
              <w:pStyle w:val="9"/>
              <w:spacing w:line="240" w:lineRule="auto"/>
              <w:jc w:val="center"/>
              <w:rPr>
                <w:rFonts w:hAnsi="宋体" w:eastAsia="宋体" w:cs="仿宋"/>
                <w:b/>
                <w:bCs/>
                <w:color w:val="auto"/>
                <w:sz w:val="21"/>
                <w:szCs w:val="21"/>
                <w:highlight w:val="none"/>
              </w:rPr>
            </w:pPr>
            <w:r>
              <w:rPr>
                <w:rFonts w:hint="eastAsia" w:hAnsi="宋体" w:eastAsia="宋体" w:cs="仿宋"/>
                <w:b/>
                <w:bCs/>
                <w:color w:val="auto"/>
                <w:sz w:val="21"/>
                <w:szCs w:val="21"/>
                <w:highlight w:val="none"/>
              </w:rPr>
              <w:t>单位</w:t>
            </w:r>
          </w:p>
        </w:tc>
        <w:tc>
          <w:tcPr>
            <w:tcW w:w="846" w:type="dxa"/>
            <w:vAlign w:val="center"/>
          </w:tcPr>
          <w:p w14:paraId="6A41B58F">
            <w:pPr>
              <w:pStyle w:val="9"/>
              <w:spacing w:line="240" w:lineRule="auto"/>
              <w:jc w:val="center"/>
              <w:rPr>
                <w:rFonts w:hAnsi="宋体" w:eastAsia="宋体" w:cs="仿宋"/>
                <w:b/>
                <w:bCs/>
                <w:color w:val="auto"/>
                <w:sz w:val="21"/>
                <w:szCs w:val="21"/>
                <w:highlight w:val="none"/>
              </w:rPr>
            </w:pPr>
            <w:r>
              <w:rPr>
                <w:rFonts w:hint="eastAsia" w:hAnsi="宋体" w:eastAsia="宋体" w:cs="仿宋"/>
                <w:b/>
                <w:bCs/>
                <w:color w:val="auto"/>
                <w:sz w:val="21"/>
                <w:szCs w:val="21"/>
                <w:highlight w:val="none"/>
              </w:rPr>
              <w:t>单价</w:t>
            </w:r>
          </w:p>
          <w:p w14:paraId="5B89A3CE">
            <w:pPr>
              <w:pStyle w:val="9"/>
              <w:spacing w:line="240" w:lineRule="auto"/>
              <w:jc w:val="center"/>
              <w:rPr>
                <w:rFonts w:hAnsi="宋体" w:eastAsia="宋体" w:cs="仿宋"/>
                <w:b/>
                <w:bCs/>
                <w:color w:val="auto"/>
                <w:sz w:val="21"/>
                <w:szCs w:val="21"/>
                <w:highlight w:val="none"/>
              </w:rPr>
            </w:pPr>
            <w:r>
              <w:rPr>
                <w:rFonts w:hint="eastAsia" w:hAnsi="宋体" w:eastAsia="宋体" w:cs="仿宋"/>
                <w:b/>
                <w:bCs/>
                <w:color w:val="auto"/>
                <w:sz w:val="21"/>
                <w:szCs w:val="21"/>
                <w:highlight w:val="none"/>
              </w:rPr>
              <w:t>（元）</w:t>
            </w:r>
          </w:p>
        </w:tc>
        <w:tc>
          <w:tcPr>
            <w:tcW w:w="800" w:type="dxa"/>
            <w:vAlign w:val="center"/>
          </w:tcPr>
          <w:p w14:paraId="5D2EF0F7">
            <w:pPr>
              <w:pStyle w:val="9"/>
              <w:spacing w:line="240" w:lineRule="auto"/>
              <w:jc w:val="center"/>
              <w:rPr>
                <w:rFonts w:hAnsi="宋体" w:eastAsia="宋体" w:cs="仿宋"/>
                <w:b/>
                <w:bCs/>
                <w:color w:val="auto"/>
                <w:sz w:val="21"/>
                <w:szCs w:val="21"/>
                <w:highlight w:val="none"/>
              </w:rPr>
            </w:pPr>
            <w:r>
              <w:rPr>
                <w:rFonts w:hint="eastAsia" w:hAnsi="宋体" w:eastAsia="宋体" w:cs="仿宋"/>
                <w:b/>
                <w:bCs/>
                <w:color w:val="auto"/>
                <w:sz w:val="21"/>
                <w:szCs w:val="21"/>
                <w:highlight w:val="none"/>
              </w:rPr>
              <w:t>合计</w:t>
            </w:r>
          </w:p>
          <w:p w14:paraId="566BE4D4">
            <w:pPr>
              <w:pStyle w:val="9"/>
              <w:spacing w:line="240" w:lineRule="auto"/>
              <w:jc w:val="center"/>
              <w:rPr>
                <w:rFonts w:hAnsi="宋体" w:eastAsia="宋体" w:cs="仿宋"/>
                <w:b/>
                <w:bCs/>
                <w:color w:val="auto"/>
                <w:sz w:val="21"/>
                <w:szCs w:val="21"/>
                <w:highlight w:val="none"/>
              </w:rPr>
            </w:pPr>
            <w:r>
              <w:rPr>
                <w:rFonts w:hint="eastAsia" w:hAnsi="宋体" w:eastAsia="宋体" w:cs="仿宋"/>
                <w:b/>
                <w:bCs/>
                <w:color w:val="auto"/>
                <w:sz w:val="21"/>
                <w:szCs w:val="21"/>
                <w:highlight w:val="none"/>
              </w:rPr>
              <w:t>（元）</w:t>
            </w:r>
          </w:p>
        </w:tc>
        <w:tc>
          <w:tcPr>
            <w:tcW w:w="5446" w:type="dxa"/>
            <w:vAlign w:val="center"/>
          </w:tcPr>
          <w:p w14:paraId="1C4E0BA0">
            <w:pPr>
              <w:pStyle w:val="9"/>
              <w:spacing w:line="240" w:lineRule="auto"/>
              <w:jc w:val="center"/>
              <w:rPr>
                <w:rFonts w:hAnsi="宋体" w:eastAsia="宋体" w:cs="仿宋"/>
                <w:b/>
                <w:bCs/>
                <w:color w:val="auto"/>
                <w:sz w:val="21"/>
                <w:szCs w:val="21"/>
                <w:highlight w:val="none"/>
              </w:rPr>
            </w:pPr>
            <w:r>
              <w:rPr>
                <w:rFonts w:hint="eastAsia" w:hAnsi="宋体" w:eastAsia="宋体" w:cs="仿宋"/>
                <w:b/>
                <w:bCs/>
                <w:color w:val="auto"/>
                <w:sz w:val="21"/>
                <w:szCs w:val="21"/>
                <w:highlight w:val="none"/>
              </w:rPr>
              <w:t>具体服务承诺(包含但不限于服务内容、范围和基本要求)</w:t>
            </w:r>
          </w:p>
        </w:tc>
      </w:tr>
      <w:tr w14:paraId="596BF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trPr>
        <w:tc>
          <w:tcPr>
            <w:tcW w:w="1091" w:type="dxa"/>
            <w:vAlign w:val="center"/>
          </w:tcPr>
          <w:p w14:paraId="50786BA0">
            <w:pPr>
              <w:pStyle w:val="9"/>
              <w:spacing w:line="240" w:lineRule="auto"/>
              <w:jc w:val="left"/>
              <w:rPr>
                <w:rFonts w:hAnsi="宋体" w:eastAsia="宋体" w:cs="仿宋"/>
                <w:bCs/>
                <w:color w:val="auto"/>
                <w:sz w:val="21"/>
                <w:szCs w:val="21"/>
                <w:highlight w:val="none"/>
              </w:rPr>
            </w:pPr>
            <w:r>
              <w:rPr>
                <w:rFonts w:hint="eastAsia" w:hAnsi="宋体" w:eastAsia="宋体" w:cs="仿宋"/>
                <w:bCs/>
                <w:color w:val="auto"/>
                <w:sz w:val="21"/>
                <w:szCs w:val="21"/>
                <w:highlight w:val="none"/>
              </w:rPr>
              <w:t>第三方参与“医疗保障基金常态化监管工作”</w:t>
            </w:r>
          </w:p>
        </w:tc>
        <w:tc>
          <w:tcPr>
            <w:tcW w:w="451" w:type="dxa"/>
            <w:vAlign w:val="center"/>
          </w:tcPr>
          <w:p w14:paraId="7EE793E8">
            <w:pPr>
              <w:pStyle w:val="9"/>
              <w:spacing w:line="240" w:lineRule="auto"/>
              <w:jc w:val="center"/>
              <w:rPr>
                <w:rFonts w:hAnsi="宋体" w:eastAsia="宋体" w:cs="仿宋"/>
                <w:color w:val="auto"/>
                <w:sz w:val="21"/>
                <w:szCs w:val="21"/>
                <w:highlight w:val="none"/>
              </w:rPr>
            </w:pPr>
            <w:r>
              <w:rPr>
                <w:rFonts w:hint="eastAsia" w:hAnsi="宋体" w:eastAsia="宋体" w:cs="仿宋"/>
                <w:color w:val="auto"/>
                <w:sz w:val="21"/>
                <w:szCs w:val="21"/>
                <w:highlight w:val="none"/>
              </w:rPr>
              <w:t>1</w:t>
            </w:r>
          </w:p>
        </w:tc>
        <w:tc>
          <w:tcPr>
            <w:tcW w:w="451" w:type="dxa"/>
            <w:vAlign w:val="center"/>
          </w:tcPr>
          <w:p w14:paraId="52B68A30">
            <w:pPr>
              <w:pStyle w:val="9"/>
              <w:spacing w:line="240" w:lineRule="auto"/>
              <w:jc w:val="center"/>
              <w:rPr>
                <w:rFonts w:hAnsi="宋体" w:eastAsia="宋体" w:cs="仿宋"/>
                <w:color w:val="auto"/>
                <w:sz w:val="21"/>
                <w:szCs w:val="21"/>
                <w:highlight w:val="none"/>
              </w:rPr>
            </w:pPr>
            <w:r>
              <w:rPr>
                <w:rFonts w:hint="eastAsia" w:hAnsi="宋体" w:eastAsia="宋体" w:cs="仿宋"/>
                <w:color w:val="auto"/>
                <w:sz w:val="21"/>
                <w:szCs w:val="21"/>
                <w:highlight w:val="none"/>
              </w:rPr>
              <w:t>项</w:t>
            </w:r>
          </w:p>
        </w:tc>
        <w:tc>
          <w:tcPr>
            <w:tcW w:w="846" w:type="dxa"/>
            <w:vAlign w:val="center"/>
          </w:tcPr>
          <w:p w14:paraId="36DDA600">
            <w:pPr>
              <w:pStyle w:val="9"/>
              <w:spacing w:line="240" w:lineRule="auto"/>
              <w:jc w:val="center"/>
              <w:rPr>
                <w:rFonts w:hAnsi="宋体" w:eastAsia="宋体" w:cs="仿宋"/>
                <w:color w:val="auto"/>
                <w:sz w:val="21"/>
                <w:szCs w:val="21"/>
                <w:highlight w:val="none"/>
              </w:rPr>
            </w:pPr>
          </w:p>
        </w:tc>
        <w:tc>
          <w:tcPr>
            <w:tcW w:w="800" w:type="dxa"/>
            <w:vAlign w:val="center"/>
          </w:tcPr>
          <w:p w14:paraId="7A84FF31">
            <w:pPr>
              <w:pStyle w:val="9"/>
              <w:spacing w:line="240" w:lineRule="auto"/>
              <w:jc w:val="center"/>
              <w:rPr>
                <w:rFonts w:hAnsi="宋体" w:eastAsia="宋体" w:cs="仿宋"/>
                <w:color w:val="auto"/>
                <w:sz w:val="21"/>
                <w:szCs w:val="21"/>
                <w:highlight w:val="none"/>
              </w:rPr>
            </w:pPr>
          </w:p>
        </w:tc>
        <w:tc>
          <w:tcPr>
            <w:tcW w:w="5446" w:type="dxa"/>
            <w:vAlign w:val="center"/>
          </w:tcPr>
          <w:p w14:paraId="3A6359E8">
            <w:pPr>
              <w:pStyle w:val="21"/>
              <w:keepNext w:val="0"/>
              <w:keepLines w:val="0"/>
              <w:pageBreakBefore w:val="0"/>
              <w:kinsoku/>
              <w:wordWrap/>
              <w:overflowPunct/>
              <w:topLinePunct w:val="0"/>
              <w:bidi w:val="0"/>
              <w:spacing w:line="240" w:lineRule="auto"/>
              <w:ind w:firstLine="420" w:firstLineChars="200"/>
              <w:textAlignment w:val="auto"/>
              <w:rPr>
                <w:rFonts w:hint="default" w:cs="Times New Roman" w:asciiTheme="minorAscii" w:hAnsiTheme="minorAscii" w:eastAsiaTheme="minorEastAsia"/>
                <w:color w:val="auto"/>
                <w:sz w:val="21"/>
                <w:szCs w:val="21"/>
                <w:highlight w:val="none"/>
              </w:rPr>
            </w:pPr>
            <w:r>
              <w:rPr>
                <w:rFonts w:hint="default" w:cs="Times New Roman" w:asciiTheme="minorAscii" w:hAnsiTheme="minorAscii" w:eastAsiaTheme="minorEastAsia"/>
                <w:color w:val="auto"/>
                <w:sz w:val="21"/>
                <w:szCs w:val="21"/>
                <w:highlight w:val="none"/>
              </w:rPr>
              <w:t>通过引入第三方的专业技术和资源，协助</w:t>
            </w:r>
            <w:r>
              <w:rPr>
                <w:rFonts w:hint="eastAsia" w:cs="Times New Roman" w:asciiTheme="minorAscii" w:hAnsiTheme="minorAscii" w:eastAsiaTheme="minorEastAsia"/>
                <w:color w:val="auto"/>
                <w:sz w:val="21"/>
                <w:szCs w:val="21"/>
                <w:highlight w:val="none"/>
                <w:lang w:eastAsia="zh-CN"/>
              </w:rPr>
              <w:t>甲方</w:t>
            </w:r>
            <w:r>
              <w:rPr>
                <w:rFonts w:hint="default" w:cs="Times New Roman" w:asciiTheme="minorAscii" w:hAnsiTheme="minorAscii" w:eastAsiaTheme="minorEastAsia"/>
                <w:color w:val="auto"/>
                <w:sz w:val="21"/>
                <w:szCs w:val="21"/>
                <w:highlight w:val="none"/>
              </w:rPr>
              <w:t>建立更加完善、高效的医保基金监管体系，一是精准识别违法违规行为，有效遏制医保基金的不合理支出，确保医保基金安全、合理、高效运行；二是提升医保基金监管的智能化水平，利用大数据、人工智能等技术手段，实现对医保数据的分析，提高监管效率和准确性；三是通过医保基金常态化监管机制，对于在数据筛查及现场检查中发现的其它领域问题、加强部门协作及时移交相关线索、强化社会监督等措施，推动医保基金监管工作的规范化发展，具体安排如下：</w:t>
            </w:r>
          </w:p>
          <w:p w14:paraId="01919454">
            <w:pPr>
              <w:pStyle w:val="21"/>
              <w:keepNext w:val="0"/>
              <w:keepLines w:val="0"/>
              <w:pageBreakBefore w:val="0"/>
              <w:kinsoku/>
              <w:wordWrap/>
              <w:overflowPunct/>
              <w:topLinePunct w:val="0"/>
              <w:bidi w:val="0"/>
              <w:adjustRightInd w:val="0"/>
              <w:snapToGrid/>
              <w:spacing w:line="240" w:lineRule="auto"/>
              <w:ind w:firstLine="422" w:firstLineChars="200"/>
              <w:textAlignment w:val="auto"/>
              <w:rPr>
                <w:rFonts w:hint="default" w:cs="Times New Roman" w:asciiTheme="minorAscii" w:hAnsiTheme="minorAscii" w:eastAsiaTheme="minorEastAsia"/>
                <w:color w:val="auto"/>
                <w:sz w:val="21"/>
                <w:szCs w:val="21"/>
                <w:highlight w:val="none"/>
              </w:rPr>
            </w:pPr>
            <w:bookmarkStart w:id="0" w:name="OLE_LINK4"/>
            <w:bookmarkStart w:id="1" w:name="OLE_LINK5"/>
            <w:r>
              <w:rPr>
                <w:rFonts w:hint="default" w:cs="Times New Roman" w:asciiTheme="minorAscii" w:hAnsiTheme="minorAscii" w:eastAsiaTheme="minorEastAsia"/>
                <w:b/>
                <w:color w:val="auto"/>
                <w:sz w:val="21"/>
                <w:szCs w:val="21"/>
                <w:highlight w:val="none"/>
              </w:rPr>
              <w:t>（一）开展年度检查数据筛查。</w:t>
            </w:r>
            <w:r>
              <w:rPr>
                <w:rFonts w:hint="default" w:cs="Times New Roman" w:asciiTheme="minorAscii" w:hAnsiTheme="minorAscii" w:eastAsiaTheme="minorEastAsia"/>
                <w:color w:val="auto"/>
                <w:sz w:val="21"/>
                <w:szCs w:val="21"/>
                <w:highlight w:val="none"/>
              </w:rPr>
              <w:t>按照国家及省医保2025年监管工作重点，结合西安市的年度工作计划，向各区（县）、开发区医保部门下发不少于300家二级定点医疗机构及统筹药店疑似问题数据，充分利用大数据分析对医药机构进行数据筛查，出具数据分析报告并按需派专家指导各级医保部门开展检查及后续处理工作。</w:t>
            </w:r>
          </w:p>
          <w:p w14:paraId="02315B7F">
            <w:pPr>
              <w:pStyle w:val="21"/>
              <w:keepNext w:val="0"/>
              <w:keepLines w:val="0"/>
              <w:pageBreakBefore w:val="0"/>
              <w:kinsoku/>
              <w:wordWrap/>
              <w:overflowPunct/>
              <w:topLinePunct w:val="0"/>
              <w:bidi w:val="0"/>
              <w:spacing w:line="240" w:lineRule="auto"/>
              <w:ind w:firstLine="422" w:firstLineChars="200"/>
              <w:jc w:val="left"/>
              <w:textAlignment w:val="auto"/>
              <w:rPr>
                <w:rFonts w:hint="default" w:cs="Times New Roman" w:asciiTheme="minorAscii" w:hAnsiTheme="minorAscii" w:eastAsiaTheme="minorEastAsia"/>
                <w:color w:val="auto"/>
                <w:kern w:val="2"/>
                <w:sz w:val="21"/>
                <w:szCs w:val="21"/>
                <w:highlight w:val="none"/>
              </w:rPr>
            </w:pPr>
            <w:r>
              <w:rPr>
                <w:rFonts w:hint="default" w:cs="Times New Roman" w:asciiTheme="minorAscii" w:hAnsiTheme="minorAscii" w:eastAsiaTheme="minorEastAsia"/>
                <w:b/>
                <w:color w:val="auto"/>
                <w:kern w:val="2"/>
                <w:sz w:val="21"/>
                <w:szCs w:val="21"/>
                <w:highlight w:val="none"/>
              </w:rPr>
              <w:t>（二）配合开展现场检查。</w:t>
            </w:r>
            <w:r>
              <w:rPr>
                <w:rFonts w:hint="default" w:cs="Times New Roman" w:asciiTheme="minorAscii" w:hAnsiTheme="minorAscii" w:eastAsiaTheme="minorEastAsia"/>
                <w:color w:val="auto"/>
                <w:kern w:val="2"/>
                <w:sz w:val="21"/>
                <w:szCs w:val="21"/>
                <w:highlight w:val="none"/>
              </w:rPr>
              <w:t>根据市局实际工作需要及安排，配合各级飞检或专项检查数据筛查及现场检查工作。</w:t>
            </w:r>
          </w:p>
          <w:p w14:paraId="3ACC2DFD">
            <w:pPr>
              <w:pStyle w:val="21"/>
              <w:keepNext w:val="0"/>
              <w:keepLines w:val="0"/>
              <w:pageBreakBefore w:val="0"/>
              <w:kinsoku/>
              <w:wordWrap/>
              <w:overflowPunct/>
              <w:topLinePunct w:val="0"/>
              <w:bidi w:val="0"/>
              <w:spacing w:line="240" w:lineRule="auto"/>
              <w:ind w:firstLine="422" w:firstLineChars="200"/>
              <w:jc w:val="left"/>
              <w:textAlignment w:val="auto"/>
              <w:rPr>
                <w:rFonts w:hint="default" w:cs="Times New Roman" w:asciiTheme="minorAscii" w:hAnsiTheme="minorAscii" w:eastAsiaTheme="minorEastAsia"/>
                <w:color w:val="auto"/>
                <w:kern w:val="2"/>
                <w:sz w:val="21"/>
                <w:szCs w:val="21"/>
                <w:highlight w:val="none"/>
              </w:rPr>
            </w:pPr>
            <w:r>
              <w:rPr>
                <w:rFonts w:hint="default" w:cs="Times New Roman" w:asciiTheme="minorAscii" w:hAnsiTheme="minorAscii" w:eastAsiaTheme="minorEastAsia"/>
                <w:b/>
                <w:color w:val="auto"/>
                <w:kern w:val="2"/>
                <w:sz w:val="21"/>
                <w:szCs w:val="21"/>
                <w:highlight w:val="none"/>
              </w:rPr>
              <w:t>（三）开展交叉检查。</w:t>
            </w:r>
            <w:r>
              <w:rPr>
                <w:rFonts w:hint="default" w:cs="Times New Roman" w:asciiTheme="minorAscii" w:hAnsiTheme="minorAscii" w:eastAsiaTheme="minorEastAsia"/>
                <w:color w:val="auto"/>
                <w:sz w:val="21"/>
                <w:szCs w:val="21"/>
                <w:highlight w:val="none"/>
              </w:rPr>
              <w:t>根据我市监管工作实际情况，下半年针对自查自纠成效靠后的区县，市局牵头组织对相关区县不超过15家医院及药店开展交叉检查，配合派出专家及技术人员开展现场检查及数据分析。</w:t>
            </w:r>
          </w:p>
          <w:p w14:paraId="4A3C4CD8">
            <w:pPr>
              <w:ind w:firstLine="422" w:firstLineChars="200"/>
              <w:rPr>
                <w:rFonts w:hAnsi="宋体" w:eastAsia="宋体" w:cs="仿宋"/>
                <w:color w:val="auto"/>
                <w:sz w:val="21"/>
                <w:szCs w:val="21"/>
                <w:highlight w:val="none"/>
              </w:rPr>
            </w:pPr>
            <w:r>
              <w:rPr>
                <w:rFonts w:hint="default" w:cs="Times New Roman" w:asciiTheme="minorAscii" w:hAnsiTheme="minorAscii" w:eastAsiaTheme="minorEastAsia"/>
                <w:b/>
                <w:color w:val="auto"/>
                <w:kern w:val="2"/>
                <w:sz w:val="21"/>
                <w:szCs w:val="21"/>
                <w:highlight w:val="none"/>
              </w:rPr>
              <w:t>（四）驻场服务。</w:t>
            </w:r>
            <w:r>
              <w:rPr>
                <w:rFonts w:hint="default" w:cs="Times New Roman" w:asciiTheme="minorAscii" w:hAnsiTheme="minorAscii" w:eastAsiaTheme="minorEastAsia"/>
                <w:color w:val="auto"/>
                <w:kern w:val="2"/>
                <w:sz w:val="21"/>
                <w:szCs w:val="21"/>
                <w:highlight w:val="none"/>
              </w:rPr>
              <w:t>派驻1名具有较强的医保基金监管经验的人员，派驻期间服从市医保局管理，派驻时间1年。</w:t>
            </w:r>
            <w:bookmarkEnd w:id="0"/>
            <w:bookmarkEnd w:id="1"/>
          </w:p>
        </w:tc>
      </w:tr>
    </w:tbl>
    <w:p w14:paraId="4583B2D8">
      <w:pPr>
        <w:pStyle w:val="9"/>
        <w:keepNext w:val="0"/>
        <w:keepLines w:val="0"/>
        <w:pageBreakBefore w:val="0"/>
        <w:kinsoku/>
        <w:wordWrap/>
        <w:overflowPunct/>
        <w:topLinePunct w:val="0"/>
        <w:autoSpaceDE/>
        <w:autoSpaceDN/>
        <w:bidi w:val="0"/>
        <w:spacing w:line="360" w:lineRule="auto"/>
        <w:textAlignment w:val="auto"/>
        <w:rPr>
          <w:rFonts w:hint="eastAsia" w:hAnsi="宋体" w:eastAsia="宋体" w:cs="仿宋"/>
          <w:b/>
          <w:bCs/>
          <w:color w:val="auto"/>
          <w:sz w:val="21"/>
          <w:szCs w:val="21"/>
          <w:highlight w:val="none"/>
        </w:rPr>
      </w:pPr>
      <w:r>
        <w:rPr>
          <w:rFonts w:hint="eastAsia" w:hAnsi="宋体" w:eastAsia="宋体" w:cs="仿宋"/>
          <w:b/>
          <w:bCs/>
          <w:color w:val="auto"/>
          <w:sz w:val="21"/>
          <w:szCs w:val="21"/>
          <w:highlight w:val="none"/>
        </w:rPr>
        <w:t>3.合同金额及付款方式</w:t>
      </w:r>
    </w:p>
    <w:p w14:paraId="58AA6517">
      <w:pPr>
        <w:pStyle w:val="9"/>
        <w:keepNext w:val="0"/>
        <w:keepLines w:val="0"/>
        <w:pageBreakBefore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3.1合同金额</w:t>
      </w:r>
    </w:p>
    <w:p w14:paraId="3FCDF06B">
      <w:pPr>
        <w:pStyle w:val="9"/>
        <w:keepNext w:val="0"/>
        <w:keepLines w:val="0"/>
        <w:pageBreakBefore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本合同总金额为人民币</w:t>
      </w:r>
      <w:r>
        <w:rPr>
          <w:rFonts w:hint="eastAsia" w:hAnsi="宋体" w:eastAsia="宋体" w:cs="仿宋"/>
          <w:color w:val="auto"/>
          <w:sz w:val="21"/>
          <w:szCs w:val="21"/>
          <w:highlight w:val="none"/>
          <w:u w:val="single"/>
        </w:rPr>
        <w:t>大写：</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u w:val="single"/>
        </w:rPr>
        <w:t>（</w:t>
      </w:r>
      <w:r>
        <w:rPr>
          <w:rFonts w:hint="eastAsia" w:hAnsi="宋体" w:eastAsia="宋体" w:cs="仿宋"/>
          <w:color w:val="auto"/>
          <w:sz w:val="21"/>
          <w:szCs w:val="21"/>
          <w:highlight w:val="none"/>
          <w:u w:val="single"/>
          <w:lang w:eastAsia="zh-CN"/>
        </w:rPr>
        <w:t>￥</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u w:val="single"/>
        </w:rPr>
        <w:t>）</w:t>
      </w:r>
      <w:r>
        <w:rPr>
          <w:rFonts w:hint="eastAsia" w:hAnsi="宋体" w:eastAsia="宋体" w:cs="仿宋"/>
          <w:color w:val="auto"/>
          <w:sz w:val="21"/>
          <w:szCs w:val="21"/>
          <w:highlight w:val="none"/>
        </w:rPr>
        <w:t>。本合同金额已包含但不限于乙方为提供服务所产生的全部成本、预期利益、售后服务、税费和合同中规定乙方应承担的其他义务的费用等。</w:t>
      </w:r>
    </w:p>
    <w:p w14:paraId="0F0A6B75">
      <w:pPr>
        <w:pStyle w:val="9"/>
        <w:keepNext w:val="0"/>
        <w:keepLines w:val="0"/>
        <w:pageBreakBefore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3.2付款方式</w:t>
      </w:r>
    </w:p>
    <w:p w14:paraId="5975877B">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hAnsi="宋体"/>
          <w:color w:val="auto"/>
          <w:szCs w:val="21"/>
          <w:highlight w:val="none"/>
        </w:rPr>
      </w:pPr>
      <w:r>
        <w:rPr>
          <w:rFonts w:hint="eastAsia" w:ascii="宋体" w:hAnsi="宋体" w:cs="仿宋"/>
          <w:color w:val="auto"/>
          <w:sz w:val="21"/>
          <w:szCs w:val="21"/>
          <w:highlight w:val="none"/>
        </w:rPr>
        <w:t>根据省财政厅《陕西省财政厅关于进一步加大政府采购支持中小企业的通知》（陕财办采【2022】5号）要求，付款方式如下：</w:t>
      </w:r>
    </w:p>
    <w:p w14:paraId="6542D7EC">
      <w:pPr>
        <w:pStyle w:val="22"/>
        <w:keepNext w:val="0"/>
        <w:keepLines w:val="0"/>
        <w:pageBreakBefore w:val="0"/>
        <w:kinsoku/>
        <w:wordWrap/>
        <w:overflowPunct/>
        <w:topLinePunct w:val="0"/>
        <w:autoSpaceDE/>
        <w:autoSpaceDN/>
        <w:bidi w:val="0"/>
        <w:spacing w:line="360" w:lineRule="auto"/>
        <w:ind w:left="0" w:leftChars="0" w:firstLine="420" w:firstLineChars="0"/>
        <w:textAlignment w:val="auto"/>
        <w:rPr>
          <w:rFonts w:hint="default" w:cs="仿宋_GB2312" w:asciiTheme="minorAscii" w:hAnsiTheme="minorAscii" w:eastAsiaTheme="minorEastAsia"/>
          <w:color w:val="auto"/>
          <w:sz w:val="21"/>
          <w:szCs w:val="21"/>
          <w:highlight w:val="none"/>
        </w:rPr>
      </w:pPr>
      <w:r>
        <w:rPr>
          <w:rFonts w:hint="default" w:cs="仿宋_GB2312" w:asciiTheme="minorAscii" w:hAnsiTheme="minorAscii" w:eastAsiaTheme="minorEastAsia"/>
          <w:color w:val="auto"/>
          <w:sz w:val="21"/>
          <w:szCs w:val="21"/>
          <w:highlight w:val="none"/>
          <w:lang w:val="en-US" w:eastAsia="zh-CN"/>
        </w:rPr>
        <w:t>合同签订后</w:t>
      </w:r>
      <w:r>
        <w:rPr>
          <w:rFonts w:hint="default" w:cs="仿宋_GB2312" w:asciiTheme="minorAscii" w:hAnsiTheme="minorAscii" w:eastAsiaTheme="minorEastAsia"/>
          <w:color w:val="auto"/>
          <w:sz w:val="21"/>
          <w:szCs w:val="21"/>
          <w:highlight w:val="none"/>
          <w:lang w:eastAsia="zh-CN"/>
        </w:rPr>
        <w:t>，</w:t>
      </w:r>
      <w:r>
        <w:rPr>
          <w:rFonts w:hint="default" w:cs="仿宋_GB2312" w:asciiTheme="minorAscii" w:hAnsiTheme="minorAscii" w:eastAsiaTheme="minorEastAsia"/>
          <w:color w:val="auto"/>
          <w:sz w:val="21"/>
          <w:szCs w:val="21"/>
          <w:highlight w:val="none"/>
        </w:rPr>
        <w:t>达到付款条件起</w:t>
      </w:r>
      <w:r>
        <w:rPr>
          <w:rFonts w:hint="default" w:cs="仿宋_GB2312" w:asciiTheme="minorAscii" w:hAnsiTheme="minorAscii" w:eastAsiaTheme="minorEastAsia"/>
          <w:color w:val="auto"/>
          <w:sz w:val="21"/>
          <w:szCs w:val="21"/>
          <w:highlight w:val="none"/>
          <w:lang w:val="en-US" w:eastAsia="zh-CN"/>
        </w:rPr>
        <w:t>30</w:t>
      </w:r>
      <w:r>
        <w:rPr>
          <w:rFonts w:hint="default" w:cs="仿宋_GB2312" w:asciiTheme="minorAscii" w:hAnsiTheme="minorAscii" w:eastAsiaTheme="minorEastAsia"/>
          <w:color w:val="auto"/>
          <w:sz w:val="21"/>
          <w:szCs w:val="21"/>
          <w:highlight w:val="none"/>
        </w:rPr>
        <w:t>日内，支付合同总金额的</w:t>
      </w:r>
      <w:r>
        <w:rPr>
          <w:rFonts w:hint="default" w:cs="仿宋_GB2312" w:asciiTheme="minorAscii" w:hAnsiTheme="minorAscii" w:eastAsiaTheme="minorEastAsia"/>
          <w:color w:val="auto"/>
          <w:sz w:val="21"/>
          <w:szCs w:val="21"/>
          <w:highlight w:val="none"/>
          <w:lang w:val="en-US" w:eastAsia="zh-CN"/>
        </w:rPr>
        <w:t>50</w:t>
      </w:r>
      <w:r>
        <w:rPr>
          <w:rFonts w:hint="default" w:cs="仿宋_GB2312" w:asciiTheme="minorAscii" w:hAnsiTheme="minorAscii" w:eastAsiaTheme="minorEastAsia"/>
          <w:color w:val="auto"/>
          <w:sz w:val="21"/>
          <w:szCs w:val="21"/>
          <w:highlight w:val="none"/>
        </w:rPr>
        <w:t>%。待整个服务结束后，次年第一季度组织相关领域专家进行项目验收</w:t>
      </w:r>
      <w:r>
        <w:rPr>
          <w:rFonts w:hint="eastAsia" w:cs="仿宋_GB2312" w:asciiTheme="minorAscii" w:hAnsiTheme="minorAscii"/>
          <w:color w:val="auto"/>
          <w:sz w:val="21"/>
          <w:szCs w:val="21"/>
          <w:highlight w:val="none"/>
          <w:lang w:eastAsia="zh-CN"/>
        </w:rPr>
        <w:t>，财政资金到位且确认验收合格后</w:t>
      </w:r>
      <w:r>
        <w:rPr>
          <w:rFonts w:hint="default" w:cs="仿宋_GB2312" w:asciiTheme="minorAscii" w:hAnsiTheme="minorAscii" w:eastAsiaTheme="minorEastAsia"/>
          <w:color w:val="auto"/>
          <w:sz w:val="21"/>
          <w:szCs w:val="21"/>
          <w:highlight w:val="none"/>
        </w:rPr>
        <w:t>，达到付款条件起</w:t>
      </w:r>
      <w:r>
        <w:rPr>
          <w:rFonts w:hint="default" w:cs="仿宋_GB2312" w:asciiTheme="minorAscii" w:hAnsiTheme="minorAscii" w:eastAsiaTheme="minorEastAsia"/>
          <w:color w:val="auto"/>
          <w:sz w:val="21"/>
          <w:szCs w:val="21"/>
          <w:highlight w:val="none"/>
          <w:lang w:val="en-US" w:eastAsia="zh-CN"/>
        </w:rPr>
        <w:t>30</w:t>
      </w:r>
      <w:r>
        <w:rPr>
          <w:rFonts w:hint="default" w:cs="仿宋_GB2312" w:asciiTheme="minorAscii" w:hAnsiTheme="minorAscii" w:eastAsiaTheme="minorEastAsia"/>
          <w:color w:val="auto"/>
          <w:sz w:val="21"/>
          <w:szCs w:val="21"/>
          <w:highlight w:val="none"/>
        </w:rPr>
        <w:t>日内，支付合同总金额的</w:t>
      </w:r>
      <w:r>
        <w:rPr>
          <w:rFonts w:hint="default" w:cs="仿宋_GB2312" w:asciiTheme="minorAscii" w:hAnsiTheme="minorAscii" w:eastAsiaTheme="minorEastAsia"/>
          <w:color w:val="auto"/>
          <w:sz w:val="21"/>
          <w:szCs w:val="21"/>
          <w:highlight w:val="none"/>
          <w:lang w:val="en-US" w:eastAsia="zh-CN"/>
        </w:rPr>
        <w:t>50</w:t>
      </w:r>
      <w:r>
        <w:rPr>
          <w:rFonts w:hint="default" w:cs="仿宋_GB2312" w:asciiTheme="minorAscii" w:hAnsiTheme="minorAscii" w:eastAsiaTheme="minorEastAsia"/>
          <w:color w:val="auto"/>
          <w:sz w:val="21"/>
          <w:szCs w:val="21"/>
          <w:highlight w:val="none"/>
        </w:rPr>
        <w:t>%。</w:t>
      </w:r>
    </w:p>
    <w:p w14:paraId="52CB262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hAnsi="宋体" w:cs="仿宋"/>
          <w:color w:val="auto"/>
          <w:sz w:val="21"/>
          <w:szCs w:val="21"/>
          <w:highlight w:val="none"/>
        </w:rPr>
      </w:pPr>
      <w:r>
        <w:rPr>
          <w:rFonts w:hint="eastAsia" w:ascii="宋体" w:hAnsi="宋体" w:cs="仿宋"/>
          <w:color w:val="auto"/>
          <w:sz w:val="21"/>
          <w:szCs w:val="21"/>
          <w:highlight w:val="none"/>
        </w:rPr>
        <w:t>甲方付款前，乙方应提供等额增值税</w:t>
      </w:r>
      <w:r>
        <w:rPr>
          <w:rFonts w:hint="eastAsia" w:ascii="宋体" w:hAnsi="宋体" w:cs="仿宋"/>
          <w:color w:val="auto"/>
          <w:sz w:val="21"/>
          <w:szCs w:val="21"/>
          <w:highlight w:val="none"/>
          <w:lang w:eastAsia="zh-CN"/>
        </w:rPr>
        <w:t>普通发票</w:t>
      </w:r>
      <w:r>
        <w:rPr>
          <w:rFonts w:hint="eastAsia" w:ascii="宋体" w:hAnsi="宋体" w:cs="仿宋"/>
          <w:color w:val="auto"/>
          <w:sz w:val="21"/>
          <w:szCs w:val="21"/>
          <w:highlight w:val="none"/>
        </w:rPr>
        <w:t>，乙方提供发票瑕疵或迟延的，甲方付款期限顺延。</w:t>
      </w:r>
    </w:p>
    <w:p w14:paraId="5A684E23">
      <w:pPr>
        <w:pStyle w:val="9"/>
        <w:keepNext w:val="0"/>
        <w:keepLines w:val="0"/>
        <w:pageBreakBefore w:val="0"/>
        <w:kinsoku/>
        <w:wordWrap/>
        <w:overflowPunct/>
        <w:topLinePunct w:val="0"/>
        <w:autoSpaceDE/>
        <w:autoSpaceDN/>
        <w:bidi w:val="0"/>
        <w:spacing w:line="360" w:lineRule="auto"/>
        <w:textAlignment w:val="auto"/>
        <w:rPr>
          <w:rFonts w:hint="eastAsia" w:hAnsi="宋体" w:eastAsia="宋体" w:cs="仿宋"/>
          <w:b/>
          <w:bCs/>
          <w:color w:val="auto"/>
          <w:sz w:val="21"/>
          <w:szCs w:val="21"/>
          <w:highlight w:val="none"/>
        </w:rPr>
      </w:pPr>
      <w:r>
        <w:rPr>
          <w:rFonts w:hint="eastAsia" w:hAnsi="宋体" w:eastAsia="宋体" w:cs="仿宋"/>
          <w:b/>
          <w:bCs/>
          <w:color w:val="auto"/>
          <w:sz w:val="21"/>
          <w:szCs w:val="21"/>
          <w:highlight w:val="none"/>
        </w:rPr>
        <w:t>4.合同签订地</w:t>
      </w:r>
    </w:p>
    <w:p w14:paraId="5F9AAD00">
      <w:pPr>
        <w:pStyle w:val="9"/>
        <w:keepNext w:val="0"/>
        <w:keepLines w:val="0"/>
        <w:pageBreakBefore w:val="0"/>
        <w:kinsoku/>
        <w:wordWrap/>
        <w:overflowPunct/>
        <w:topLinePunct w:val="0"/>
        <w:autoSpaceDE/>
        <w:autoSpaceDN/>
        <w:bidi w:val="0"/>
        <w:spacing w:line="360" w:lineRule="auto"/>
        <w:ind w:firstLine="420" w:firstLineChars="200"/>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陕西省西安市</w:t>
      </w:r>
    </w:p>
    <w:p w14:paraId="1B7135DE">
      <w:pPr>
        <w:pStyle w:val="9"/>
        <w:keepNext w:val="0"/>
        <w:keepLines w:val="0"/>
        <w:pageBreakBefore w:val="0"/>
        <w:kinsoku/>
        <w:wordWrap/>
        <w:overflowPunct/>
        <w:topLinePunct w:val="0"/>
        <w:autoSpaceDE/>
        <w:autoSpaceDN/>
        <w:bidi w:val="0"/>
        <w:spacing w:line="360" w:lineRule="auto"/>
        <w:textAlignment w:val="auto"/>
        <w:rPr>
          <w:rFonts w:hint="eastAsia" w:hAnsi="宋体" w:eastAsia="宋体" w:cs="仿宋"/>
          <w:b/>
          <w:bCs/>
          <w:color w:val="auto"/>
          <w:sz w:val="21"/>
          <w:szCs w:val="21"/>
          <w:highlight w:val="none"/>
        </w:rPr>
      </w:pPr>
      <w:r>
        <w:rPr>
          <w:rFonts w:hint="eastAsia" w:hAnsi="宋体" w:eastAsia="宋体" w:cs="仿宋"/>
          <w:b/>
          <w:bCs/>
          <w:color w:val="auto"/>
          <w:sz w:val="21"/>
          <w:szCs w:val="21"/>
          <w:highlight w:val="none"/>
        </w:rPr>
        <w:t>5.合同生效</w:t>
      </w:r>
    </w:p>
    <w:p w14:paraId="66813E3E">
      <w:pPr>
        <w:pStyle w:val="9"/>
        <w:keepNext w:val="0"/>
        <w:keepLines w:val="0"/>
        <w:pageBreakBefore w:val="0"/>
        <w:kinsoku/>
        <w:wordWrap/>
        <w:overflowPunct/>
        <w:topLinePunct w:val="0"/>
        <w:autoSpaceDE/>
        <w:autoSpaceDN/>
        <w:bidi w:val="0"/>
        <w:spacing w:line="360" w:lineRule="auto"/>
        <w:ind w:firstLine="420" w:firstLineChars="200"/>
        <w:textAlignment w:val="auto"/>
        <w:rPr>
          <w:rFonts w:hint="eastAsia" w:hAnsi="宋体" w:eastAsia="宋体" w:cs="仿宋"/>
          <w:color w:val="auto"/>
          <w:sz w:val="21"/>
          <w:szCs w:val="21"/>
          <w:highlight w:val="none"/>
        </w:rPr>
      </w:pPr>
      <w:r>
        <w:rPr>
          <w:rFonts w:hint="eastAsia" w:hAnsi="宋体" w:eastAsia="宋体" w:cs="仿宋"/>
          <w:color w:val="auto"/>
          <w:sz w:val="21"/>
          <w:szCs w:val="21"/>
          <w:highlight w:val="none"/>
        </w:rPr>
        <w:t>本合同一式肆份，甲方执贰份、乙方执贰份。在甲、乙方签字盖章后生效，在合同执行完毕自动失效。</w:t>
      </w:r>
    </w:p>
    <w:p w14:paraId="4028F9FA">
      <w:pPr>
        <w:ind w:firstLineChars="200"/>
        <w:rPr>
          <w:rFonts w:hint="eastAsia" w:hAnsi="宋体" w:eastAsia="宋体" w:cs="仿宋"/>
          <w:color w:val="auto"/>
          <w:sz w:val="24"/>
          <w:szCs w:val="24"/>
          <w:highlight w:val="none"/>
        </w:rPr>
      </w:pPr>
      <w:r>
        <w:rPr>
          <w:rFonts w:hint="eastAsia" w:hAnsi="宋体" w:eastAsia="宋体" w:cs="仿宋"/>
          <w:color w:val="auto"/>
          <w:sz w:val="24"/>
          <w:szCs w:val="24"/>
          <w:highlight w:val="none"/>
        </w:rPr>
        <w:br w:type="page"/>
      </w:r>
    </w:p>
    <w:p w14:paraId="148AE7F0">
      <w:pPr>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本页无正文</w:t>
      </w:r>
      <w:r>
        <w:rPr>
          <w:rFonts w:hint="eastAsia"/>
          <w:color w:val="auto"/>
          <w:highlight w:val="none"/>
          <w:lang w:eastAsia="zh-CN"/>
        </w:rPr>
        <w:t>）</w:t>
      </w:r>
    </w:p>
    <w:p w14:paraId="0D8C5CD1">
      <w:pPr>
        <w:bidi w:val="0"/>
        <w:rPr>
          <w:rFonts w:hint="eastAsia"/>
          <w:color w:val="auto"/>
          <w:highlight w:val="none"/>
          <w:lang w:eastAsia="zh-CN"/>
        </w:rPr>
      </w:pPr>
    </w:p>
    <w:tbl>
      <w:tblPr>
        <w:tblStyle w:val="14"/>
        <w:tblW w:w="880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51"/>
        <w:gridCol w:w="4253"/>
      </w:tblGrid>
      <w:tr w14:paraId="426C3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4551" w:type="dxa"/>
            <w:vAlign w:val="center"/>
          </w:tcPr>
          <w:p w14:paraId="13872E2F">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甲方：西安市医疗保障局</w:t>
            </w:r>
          </w:p>
        </w:tc>
        <w:tc>
          <w:tcPr>
            <w:tcW w:w="4253" w:type="dxa"/>
            <w:vAlign w:val="center"/>
          </w:tcPr>
          <w:p w14:paraId="155837E1">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乙方：</w:t>
            </w:r>
          </w:p>
        </w:tc>
      </w:tr>
      <w:tr w14:paraId="39555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3" w:hRule="atLeast"/>
        </w:trPr>
        <w:tc>
          <w:tcPr>
            <w:tcW w:w="4551" w:type="dxa"/>
            <w:vAlign w:val="center"/>
          </w:tcPr>
          <w:p w14:paraId="316F440E">
            <w:pPr>
              <w:widowControl/>
              <w:jc w:val="center"/>
              <w:rPr>
                <w:rFonts w:ascii="宋体" w:hAnsi="宋体" w:cs="仿宋"/>
                <w:color w:val="auto"/>
                <w:kern w:val="0"/>
                <w:sz w:val="21"/>
                <w:szCs w:val="21"/>
                <w:highlight w:val="none"/>
              </w:rPr>
            </w:pPr>
            <w:r>
              <w:rPr>
                <w:rFonts w:hint="eastAsia" w:ascii="宋体" w:hAnsi="宋体" w:cs="仿宋"/>
                <w:color w:val="auto"/>
                <w:kern w:val="0"/>
                <w:sz w:val="21"/>
                <w:szCs w:val="21"/>
                <w:highlight w:val="none"/>
              </w:rPr>
              <w:t>（盖章）</w:t>
            </w:r>
          </w:p>
        </w:tc>
        <w:tc>
          <w:tcPr>
            <w:tcW w:w="4253" w:type="dxa"/>
            <w:vAlign w:val="center"/>
          </w:tcPr>
          <w:p w14:paraId="4E565E41">
            <w:pPr>
              <w:widowControl/>
              <w:jc w:val="center"/>
              <w:rPr>
                <w:rFonts w:ascii="宋体" w:hAnsi="宋体" w:cs="仿宋"/>
                <w:color w:val="auto"/>
                <w:kern w:val="0"/>
                <w:sz w:val="21"/>
                <w:szCs w:val="21"/>
                <w:highlight w:val="none"/>
              </w:rPr>
            </w:pPr>
            <w:r>
              <w:rPr>
                <w:rFonts w:hint="eastAsia" w:ascii="宋体" w:hAnsi="宋体" w:cs="仿宋"/>
                <w:color w:val="auto"/>
                <w:kern w:val="0"/>
                <w:sz w:val="21"/>
                <w:szCs w:val="21"/>
                <w:highlight w:val="none"/>
              </w:rPr>
              <w:t>（盖章）</w:t>
            </w:r>
          </w:p>
        </w:tc>
      </w:tr>
      <w:tr w14:paraId="7AA1E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9" w:hRule="atLeast"/>
        </w:trPr>
        <w:tc>
          <w:tcPr>
            <w:tcW w:w="4551" w:type="dxa"/>
            <w:vAlign w:val="center"/>
          </w:tcPr>
          <w:p w14:paraId="22F0CF1C">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地址：西安市未央区凤城八路109号</w:t>
            </w:r>
          </w:p>
        </w:tc>
        <w:tc>
          <w:tcPr>
            <w:tcW w:w="4253" w:type="dxa"/>
            <w:vAlign w:val="center"/>
          </w:tcPr>
          <w:p w14:paraId="07344729">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地址：</w:t>
            </w:r>
          </w:p>
        </w:tc>
      </w:tr>
      <w:tr w14:paraId="733A4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4551" w:type="dxa"/>
            <w:vAlign w:val="center"/>
          </w:tcPr>
          <w:p w14:paraId="5753B718">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邮编：710016</w:t>
            </w:r>
          </w:p>
        </w:tc>
        <w:tc>
          <w:tcPr>
            <w:tcW w:w="4253" w:type="dxa"/>
            <w:vAlign w:val="center"/>
          </w:tcPr>
          <w:p w14:paraId="178C65D5">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邮编：</w:t>
            </w:r>
          </w:p>
        </w:tc>
      </w:tr>
      <w:tr w14:paraId="01A8D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 w:hRule="atLeast"/>
        </w:trPr>
        <w:tc>
          <w:tcPr>
            <w:tcW w:w="4551" w:type="dxa"/>
            <w:vAlign w:val="center"/>
          </w:tcPr>
          <w:p w14:paraId="00A6845B">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法定代表人或被授权代表：</w:t>
            </w:r>
          </w:p>
          <w:p w14:paraId="5323E35B">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（签字）</w:t>
            </w:r>
          </w:p>
        </w:tc>
        <w:tc>
          <w:tcPr>
            <w:tcW w:w="4253" w:type="dxa"/>
            <w:vAlign w:val="center"/>
          </w:tcPr>
          <w:p w14:paraId="22E88CF6">
            <w:pPr>
              <w:rPr>
                <w:rFonts w:ascii="宋体" w:hAnsi="宋体" w:cs="仿宋"/>
                <w:color w:val="auto"/>
                <w:kern w:val="0"/>
                <w:sz w:val="21"/>
                <w:szCs w:val="21"/>
                <w:highlight w:val="none"/>
              </w:rPr>
            </w:pPr>
            <w:r>
              <w:rPr>
                <w:rFonts w:hint="eastAsia" w:ascii="宋体" w:hAnsi="宋体" w:cs="仿宋"/>
                <w:color w:val="auto"/>
                <w:kern w:val="0"/>
                <w:sz w:val="21"/>
                <w:szCs w:val="21"/>
                <w:highlight w:val="none"/>
              </w:rPr>
              <w:t>法定代表人或被授权代表：</w:t>
            </w:r>
          </w:p>
          <w:p w14:paraId="20EAB70C">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（签字）</w:t>
            </w:r>
          </w:p>
        </w:tc>
      </w:tr>
      <w:tr w14:paraId="3889A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4551" w:type="dxa"/>
            <w:vAlign w:val="center"/>
          </w:tcPr>
          <w:p w14:paraId="6BBC5E74">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电话：</w:t>
            </w:r>
          </w:p>
        </w:tc>
        <w:tc>
          <w:tcPr>
            <w:tcW w:w="4253" w:type="dxa"/>
            <w:vAlign w:val="center"/>
          </w:tcPr>
          <w:p w14:paraId="402672E9">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电话：</w:t>
            </w:r>
          </w:p>
        </w:tc>
      </w:tr>
      <w:tr w14:paraId="58467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4551" w:type="dxa"/>
            <w:vMerge w:val="restart"/>
            <w:vAlign w:val="center"/>
          </w:tcPr>
          <w:p w14:paraId="5158B1E6">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传真：</w:t>
            </w:r>
          </w:p>
        </w:tc>
        <w:tc>
          <w:tcPr>
            <w:tcW w:w="4253" w:type="dxa"/>
            <w:vAlign w:val="center"/>
          </w:tcPr>
          <w:p w14:paraId="7E05C8DE">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传真：</w:t>
            </w:r>
          </w:p>
        </w:tc>
      </w:tr>
      <w:tr w14:paraId="016CD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trPr>
        <w:tc>
          <w:tcPr>
            <w:tcW w:w="4551" w:type="dxa"/>
            <w:vMerge w:val="continue"/>
            <w:vAlign w:val="center"/>
          </w:tcPr>
          <w:p w14:paraId="78815330">
            <w:pPr>
              <w:widowControl/>
              <w:jc w:val="left"/>
              <w:rPr>
                <w:rFonts w:ascii="宋体" w:hAnsi="宋体" w:cs="仿宋"/>
                <w:color w:val="auto"/>
                <w:kern w:val="0"/>
                <w:sz w:val="21"/>
                <w:szCs w:val="21"/>
                <w:highlight w:val="none"/>
              </w:rPr>
            </w:pPr>
          </w:p>
        </w:tc>
        <w:tc>
          <w:tcPr>
            <w:tcW w:w="4253" w:type="dxa"/>
            <w:vAlign w:val="center"/>
          </w:tcPr>
          <w:p w14:paraId="48B8EF58">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开户银行：</w:t>
            </w:r>
          </w:p>
        </w:tc>
      </w:tr>
      <w:tr w14:paraId="4B443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trPr>
        <w:tc>
          <w:tcPr>
            <w:tcW w:w="4551" w:type="dxa"/>
            <w:vMerge w:val="continue"/>
            <w:vAlign w:val="center"/>
          </w:tcPr>
          <w:p w14:paraId="3DD173DB">
            <w:pPr>
              <w:widowControl/>
              <w:jc w:val="left"/>
              <w:rPr>
                <w:rFonts w:ascii="宋体" w:hAnsi="宋体" w:cs="仿宋"/>
                <w:color w:val="auto"/>
                <w:kern w:val="0"/>
                <w:sz w:val="21"/>
                <w:szCs w:val="21"/>
                <w:highlight w:val="none"/>
              </w:rPr>
            </w:pPr>
          </w:p>
        </w:tc>
        <w:tc>
          <w:tcPr>
            <w:tcW w:w="4253" w:type="dxa"/>
            <w:vAlign w:val="center"/>
          </w:tcPr>
          <w:p w14:paraId="1C8BC5B2">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账号</w:t>
            </w:r>
            <w:r>
              <w:rPr>
                <w:rFonts w:hint="eastAsia" w:ascii="宋体" w:hAnsi="宋体" w:cs="仿宋"/>
                <w:color w:val="auto"/>
                <w:kern w:val="0"/>
                <w:sz w:val="21"/>
                <w:szCs w:val="21"/>
                <w:highlight w:val="none"/>
                <w:lang w:eastAsia="zh-CN"/>
              </w:rPr>
              <w:t>：</w:t>
            </w:r>
          </w:p>
        </w:tc>
      </w:tr>
      <w:tr w14:paraId="2FDAF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551" w:type="dxa"/>
            <w:vAlign w:val="center"/>
          </w:tcPr>
          <w:p w14:paraId="4B16A3A8">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日期：</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年</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月</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日</w:t>
            </w:r>
          </w:p>
        </w:tc>
        <w:tc>
          <w:tcPr>
            <w:tcW w:w="4253" w:type="dxa"/>
            <w:vAlign w:val="center"/>
          </w:tcPr>
          <w:p w14:paraId="3A57ACCA">
            <w:pPr>
              <w:widowControl/>
              <w:jc w:val="left"/>
              <w:rPr>
                <w:rFonts w:ascii="宋体" w:hAnsi="宋体" w:cs="仿宋"/>
                <w:color w:val="auto"/>
                <w:kern w:val="0"/>
                <w:sz w:val="21"/>
                <w:szCs w:val="21"/>
                <w:highlight w:val="none"/>
              </w:rPr>
            </w:pPr>
            <w:r>
              <w:rPr>
                <w:rFonts w:hint="eastAsia" w:ascii="宋体" w:hAnsi="宋体" w:cs="仿宋"/>
                <w:color w:val="auto"/>
                <w:kern w:val="0"/>
                <w:sz w:val="21"/>
                <w:szCs w:val="21"/>
                <w:highlight w:val="none"/>
              </w:rPr>
              <w:t>日期：</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年</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月</w:t>
            </w:r>
            <w:r>
              <w:rPr>
                <w:rFonts w:hint="eastAsia" w:ascii="宋体" w:hAnsi="宋体" w:cs="仿宋"/>
                <w:color w:val="auto"/>
                <w:kern w:val="0"/>
                <w:sz w:val="21"/>
                <w:szCs w:val="21"/>
                <w:highlight w:val="none"/>
                <w:lang w:val="en-US" w:eastAsia="zh-CN"/>
              </w:rPr>
              <w:t xml:space="preserve">   </w:t>
            </w:r>
            <w:r>
              <w:rPr>
                <w:rFonts w:hint="eastAsia" w:ascii="宋体" w:hAnsi="宋体" w:cs="仿宋"/>
                <w:color w:val="auto"/>
                <w:kern w:val="0"/>
                <w:sz w:val="21"/>
                <w:szCs w:val="21"/>
                <w:highlight w:val="none"/>
              </w:rPr>
              <w:t>日</w:t>
            </w:r>
          </w:p>
        </w:tc>
      </w:tr>
    </w:tbl>
    <w:p w14:paraId="37F1C537">
      <w:pPr>
        <w:pStyle w:val="9"/>
        <w:rPr>
          <w:rFonts w:hAnsi="宋体" w:eastAsia="宋体" w:cs="仿宋"/>
          <w:color w:val="auto"/>
          <w:szCs w:val="28"/>
          <w:highlight w:val="none"/>
        </w:rPr>
      </w:pPr>
      <w:r>
        <w:rPr>
          <w:rFonts w:hint="eastAsia" w:hAnsi="宋体" w:eastAsia="宋体" w:cs="仿宋"/>
          <w:color w:val="auto"/>
          <w:sz w:val="24"/>
          <w:szCs w:val="24"/>
          <w:highlight w:val="none"/>
        </w:rPr>
        <w:br w:type="page"/>
      </w:r>
    </w:p>
    <w:p w14:paraId="1D9B7041">
      <w:pPr>
        <w:pStyle w:val="9"/>
        <w:ind w:firstLine="562" w:firstLineChars="200"/>
        <w:jc w:val="center"/>
        <w:rPr>
          <w:rFonts w:hAnsi="宋体" w:eastAsia="宋体" w:cs="仿宋"/>
          <w:b/>
          <w:bCs/>
          <w:color w:val="auto"/>
          <w:szCs w:val="28"/>
          <w:highlight w:val="none"/>
        </w:rPr>
      </w:pPr>
      <w:r>
        <w:rPr>
          <w:rFonts w:hint="eastAsia" w:hAnsi="宋体" w:eastAsia="宋体" w:cs="仿宋"/>
          <w:b/>
          <w:bCs/>
          <w:color w:val="auto"/>
          <w:szCs w:val="28"/>
          <w:highlight w:val="none"/>
        </w:rPr>
        <w:t>合同条款前附表</w:t>
      </w:r>
    </w:p>
    <w:tbl>
      <w:tblPr>
        <w:tblStyle w:val="14"/>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775"/>
      </w:tblGrid>
      <w:tr w14:paraId="3E5A3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44" w:type="dxa"/>
            <w:vAlign w:val="center"/>
          </w:tcPr>
          <w:p w14:paraId="75E134BC">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序号</w:t>
            </w:r>
          </w:p>
        </w:tc>
        <w:tc>
          <w:tcPr>
            <w:tcW w:w="8775" w:type="dxa"/>
            <w:vAlign w:val="center"/>
          </w:tcPr>
          <w:p w14:paraId="1752CEA1">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b/>
                <w:bCs/>
                <w:color w:val="auto"/>
                <w:sz w:val="21"/>
                <w:szCs w:val="21"/>
                <w:highlight w:val="none"/>
              </w:rPr>
            </w:pPr>
            <w:r>
              <w:rPr>
                <w:rFonts w:hint="eastAsia" w:hAnsi="宋体" w:eastAsia="宋体" w:cs="仿宋"/>
                <w:b/>
                <w:bCs/>
                <w:color w:val="auto"/>
                <w:sz w:val="21"/>
                <w:szCs w:val="21"/>
                <w:highlight w:val="none"/>
              </w:rPr>
              <w:t>内容</w:t>
            </w:r>
          </w:p>
        </w:tc>
      </w:tr>
      <w:tr w14:paraId="6116F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14:paraId="316F0E26">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w:t>
            </w:r>
          </w:p>
        </w:tc>
        <w:tc>
          <w:tcPr>
            <w:tcW w:w="8775" w:type="dxa"/>
            <w:vAlign w:val="center"/>
          </w:tcPr>
          <w:p w14:paraId="7918AA33">
            <w:pPr>
              <w:pStyle w:val="9"/>
              <w:keepNext w:val="0"/>
              <w:keepLines w:val="0"/>
              <w:pageBreakBefore w:val="0"/>
              <w:widowControl w:val="0"/>
              <w:kinsoku/>
              <w:wordWrap/>
              <w:overflowPunct/>
              <w:topLinePunct w:val="0"/>
              <w:autoSpaceDE/>
              <w:autoSpaceDN/>
              <w:bidi w:val="0"/>
              <w:spacing w:line="360" w:lineRule="exact"/>
              <w:ind w:left="0" w:firstLine="0" w:firstLineChars="0"/>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合同名称：</w:t>
            </w:r>
            <w:r>
              <w:rPr>
                <w:rFonts w:hint="eastAsia" w:hAnsi="宋体" w:eastAsia="宋体" w:cs="仿宋"/>
                <w:color w:val="auto"/>
                <w:sz w:val="21"/>
                <w:szCs w:val="21"/>
                <w:highlight w:val="none"/>
                <w:u w:val="none"/>
                <w:lang w:eastAsia="zh-CN"/>
              </w:rPr>
              <w:t>第三方参与“医疗保障基金常态化监管工作”</w:t>
            </w:r>
            <w:r>
              <w:rPr>
                <w:rFonts w:hint="eastAsia" w:hAnsi="宋体" w:eastAsia="宋体" w:cs="仿宋"/>
                <w:color w:val="auto"/>
                <w:sz w:val="21"/>
                <w:szCs w:val="21"/>
                <w:highlight w:val="none"/>
                <w:u w:val="none"/>
                <w:lang w:val="en-US" w:eastAsia="zh-CN"/>
              </w:rPr>
              <w:t>服务合同</w:t>
            </w:r>
          </w:p>
        </w:tc>
      </w:tr>
      <w:tr w14:paraId="70378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Merge w:val="restart"/>
            <w:vAlign w:val="center"/>
          </w:tcPr>
          <w:p w14:paraId="23FCF103">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2</w:t>
            </w:r>
          </w:p>
        </w:tc>
        <w:tc>
          <w:tcPr>
            <w:tcW w:w="8775" w:type="dxa"/>
            <w:vAlign w:val="center"/>
          </w:tcPr>
          <w:p w14:paraId="1A388AFF">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甲方名称：西安市医疗保障局</w:t>
            </w:r>
          </w:p>
        </w:tc>
      </w:tr>
      <w:tr w14:paraId="5DD30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Merge w:val="continue"/>
            <w:vAlign w:val="center"/>
          </w:tcPr>
          <w:p w14:paraId="42640DC9">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p>
        </w:tc>
        <w:tc>
          <w:tcPr>
            <w:tcW w:w="8775" w:type="dxa"/>
            <w:vAlign w:val="center"/>
          </w:tcPr>
          <w:p w14:paraId="1BC32A2E">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甲方地址：西安市未央区凤城八路109号</w:t>
            </w:r>
          </w:p>
        </w:tc>
      </w:tr>
      <w:tr w14:paraId="231B8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Merge w:val="continue"/>
            <w:vAlign w:val="center"/>
          </w:tcPr>
          <w:p w14:paraId="2AA564E3">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p>
        </w:tc>
        <w:tc>
          <w:tcPr>
            <w:tcW w:w="8775" w:type="dxa"/>
            <w:vAlign w:val="center"/>
          </w:tcPr>
          <w:p w14:paraId="349251F9">
            <w:pPr>
              <w:pStyle w:val="9"/>
              <w:keepNext w:val="0"/>
              <w:keepLines w:val="0"/>
              <w:pageBreakBefore w:val="0"/>
              <w:widowControl w:val="0"/>
              <w:kinsoku/>
              <w:wordWrap/>
              <w:overflowPunct/>
              <w:topLinePunct w:val="0"/>
              <w:autoSpaceDE/>
              <w:autoSpaceDN/>
              <w:bidi w:val="0"/>
              <w:spacing w:line="360" w:lineRule="exact"/>
              <w:jc w:val="left"/>
              <w:textAlignment w:val="auto"/>
              <w:rPr>
                <w:rFonts w:hint="eastAsia" w:hAnsi="宋体" w:eastAsia="宋体" w:cs="仿宋"/>
                <w:color w:val="auto"/>
                <w:sz w:val="21"/>
                <w:szCs w:val="21"/>
                <w:highlight w:val="none"/>
                <w:lang w:eastAsia="zh-CN"/>
              </w:rPr>
            </w:pPr>
            <w:r>
              <w:rPr>
                <w:rFonts w:hint="eastAsia" w:hAnsi="宋体" w:eastAsia="宋体" w:cs="仿宋"/>
                <w:color w:val="auto"/>
                <w:sz w:val="21"/>
                <w:szCs w:val="21"/>
                <w:highlight w:val="none"/>
              </w:rPr>
              <w:t>甲方联系人：</w:t>
            </w:r>
            <w:r>
              <w:rPr>
                <w:rFonts w:hint="eastAsia" w:hAnsi="宋体" w:eastAsia="宋体" w:cs="仿宋"/>
                <w:color w:val="auto"/>
                <w:sz w:val="21"/>
                <w:szCs w:val="21"/>
                <w:highlight w:val="none"/>
                <w:lang w:val="en-US" w:eastAsia="zh-CN"/>
              </w:rPr>
              <w:t xml:space="preserve">                     </w:t>
            </w:r>
            <w:r>
              <w:rPr>
                <w:rFonts w:hint="eastAsia" w:hAnsi="宋体" w:eastAsia="宋体" w:cs="仿宋"/>
                <w:color w:val="auto"/>
                <w:sz w:val="21"/>
                <w:szCs w:val="21"/>
                <w:highlight w:val="none"/>
              </w:rPr>
              <w:t>电话：</w:t>
            </w:r>
          </w:p>
        </w:tc>
      </w:tr>
      <w:tr w14:paraId="227B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Merge w:val="restart"/>
            <w:vAlign w:val="center"/>
          </w:tcPr>
          <w:p w14:paraId="6228BD0E">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3</w:t>
            </w:r>
          </w:p>
        </w:tc>
        <w:tc>
          <w:tcPr>
            <w:tcW w:w="8775" w:type="dxa"/>
            <w:vAlign w:val="center"/>
          </w:tcPr>
          <w:p w14:paraId="0F2E6F5D">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乙方名称：</w:t>
            </w:r>
          </w:p>
        </w:tc>
      </w:tr>
      <w:tr w14:paraId="3B2AE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Merge w:val="continue"/>
            <w:vAlign w:val="center"/>
          </w:tcPr>
          <w:p w14:paraId="1137AF60">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p>
        </w:tc>
        <w:tc>
          <w:tcPr>
            <w:tcW w:w="8775" w:type="dxa"/>
            <w:vAlign w:val="center"/>
          </w:tcPr>
          <w:p w14:paraId="38DB8B02">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乙方地址：</w:t>
            </w:r>
          </w:p>
        </w:tc>
      </w:tr>
      <w:tr w14:paraId="5C358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Merge w:val="continue"/>
            <w:vAlign w:val="center"/>
          </w:tcPr>
          <w:p w14:paraId="246CC378">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p>
        </w:tc>
        <w:tc>
          <w:tcPr>
            <w:tcW w:w="8775" w:type="dxa"/>
            <w:vAlign w:val="center"/>
          </w:tcPr>
          <w:p w14:paraId="51612E18">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乙方联系人：</w:t>
            </w:r>
            <w:r>
              <w:rPr>
                <w:rFonts w:hint="eastAsia" w:hAnsi="宋体" w:eastAsia="宋体" w:cs="仿宋"/>
                <w:color w:val="auto"/>
                <w:sz w:val="21"/>
                <w:szCs w:val="21"/>
                <w:highlight w:val="none"/>
                <w:lang w:val="en-US" w:eastAsia="zh-CN"/>
              </w:rPr>
              <w:t xml:space="preserve">                     </w:t>
            </w:r>
            <w:r>
              <w:rPr>
                <w:rFonts w:hint="eastAsia" w:hAnsi="宋体" w:eastAsia="宋体" w:cs="仿宋"/>
                <w:color w:val="auto"/>
                <w:sz w:val="21"/>
                <w:szCs w:val="21"/>
                <w:highlight w:val="none"/>
              </w:rPr>
              <w:t>电话：</w:t>
            </w:r>
          </w:p>
        </w:tc>
      </w:tr>
      <w:tr w14:paraId="136A3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14:paraId="1303EF8C">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4</w:t>
            </w:r>
          </w:p>
        </w:tc>
        <w:tc>
          <w:tcPr>
            <w:tcW w:w="8775" w:type="dxa"/>
            <w:vAlign w:val="center"/>
          </w:tcPr>
          <w:p w14:paraId="6F4F025C">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合同金额：大写：</w:t>
            </w:r>
            <w:r>
              <w:rPr>
                <w:rFonts w:hint="eastAsia" w:hAnsi="宋体" w:eastAsia="宋体" w:cs="仿宋"/>
                <w:color w:val="auto"/>
                <w:sz w:val="21"/>
                <w:szCs w:val="21"/>
                <w:highlight w:val="none"/>
                <w:lang w:val="en-US" w:eastAsia="zh-CN"/>
              </w:rPr>
              <w:t xml:space="preserve">                 </w:t>
            </w:r>
            <w:r>
              <w:rPr>
                <w:rFonts w:hint="eastAsia" w:hAnsi="宋体" w:eastAsia="宋体" w:cs="仿宋"/>
                <w:color w:val="auto"/>
                <w:sz w:val="21"/>
                <w:szCs w:val="21"/>
                <w:highlight w:val="none"/>
              </w:rPr>
              <w:t>小写：</w:t>
            </w:r>
          </w:p>
        </w:tc>
      </w:tr>
      <w:tr w14:paraId="3C887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shd w:val="clear" w:color="auto" w:fill="auto"/>
            <w:vAlign w:val="center"/>
          </w:tcPr>
          <w:p w14:paraId="6F5DD596">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5</w:t>
            </w:r>
          </w:p>
        </w:tc>
        <w:tc>
          <w:tcPr>
            <w:tcW w:w="8775" w:type="dxa"/>
            <w:shd w:val="clear" w:color="auto" w:fill="auto"/>
            <w:vAlign w:val="center"/>
          </w:tcPr>
          <w:p w14:paraId="683B5C5F">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服务期：自合同签订之日起一年内</w:t>
            </w:r>
          </w:p>
        </w:tc>
      </w:tr>
      <w:tr w14:paraId="7139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shd w:val="clear" w:color="auto" w:fill="auto"/>
            <w:vAlign w:val="center"/>
          </w:tcPr>
          <w:p w14:paraId="56FD6B27">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6</w:t>
            </w:r>
          </w:p>
        </w:tc>
        <w:tc>
          <w:tcPr>
            <w:tcW w:w="8775" w:type="dxa"/>
            <w:shd w:val="clear" w:color="auto" w:fill="auto"/>
            <w:vAlign w:val="center"/>
          </w:tcPr>
          <w:p w14:paraId="347946CA">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服务地点：</w:t>
            </w:r>
            <w:r>
              <w:rPr>
                <w:rFonts w:hint="eastAsia" w:hAnsi="宋体" w:eastAsia="宋体"/>
                <w:color w:val="auto"/>
                <w:kern w:val="24"/>
                <w:sz w:val="21"/>
                <w:szCs w:val="21"/>
                <w:highlight w:val="none"/>
              </w:rPr>
              <w:t>采购人指定地点。</w:t>
            </w:r>
          </w:p>
        </w:tc>
      </w:tr>
      <w:tr w14:paraId="3BF71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14:paraId="178526BD">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7</w:t>
            </w:r>
          </w:p>
        </w:tc>
        <w:tc>
          <w:tcPr>
            <w:tcW w:w="8775" w:type="dxa"/>
            <w:vAlign w:val="center"/>
          </w:tcPr>
          <w:p w14:paraId="79F32F5A">
            <w:pPr>
              <w:pStyle w:val="9"/>
              <w:keepNext w:val="0"/>
              <w:keepLines w:val="0"/>
              <w:pageBreakBefore w:val="0"/>
              <w:widowControl w:val="0"/>
              <w:kinsoku/>
              <w:wordWrap/>
              <w:overflowPunct/>
              <w:topLinePunct w:val="0"/>
              <w:autoSpaceDE/>
              <w:autoSpaceDN/>
              <w:bidi w:val="0"/>
              <w:spacing w:line="360" w:lineRule="exact"/>
              <w:jc w:val="left"/>
              <w:textAlignment w:val="auto"/>
              <w:rPr>
                <w:rFonts w:hint="eastAsia" w:hAnsi="宋体" w:eastAsia="宋体" w:cs="仿宋"/>
                <w:color w:val="auto"/>
                <w:sz w:val="21"/>
                <w:szCs w:val="21"/>
                <w:highlight w:val="none"/>
                <w:lang w:eastAsia="zh-CN"/>
              </w:rPr>
            </w:pPr>
            <w:r>
              <w:rPr>
                <w:rFonts w:hint="eastAsia" w:hAnsi="宋体" w:eastAsia="宋体" w:cs="仿宋"/>
                <w:color w:val="auto"/>
                <w:sz w:val="21"/>
                <w:szCs w:val="21"/>
                <w:highlight w:val="none"/>
              </w:rPr>
              <w:t>服务要求：</w:t>
            </w:r>
            <w:r>
              <w:rPr>
                <w:rFonts w:hint="default" w:ascii="宋体" w:hAnsi="宋体" w:eastAsia="宋体" w:cs="仿宋"/>
                <w:color w:val="auto"/>
                <w:kern w:val="2"/>
                <w:sz w:val="21"/>
                <w:szCs w:val="21"/>
                <w:highlight w:val="none"/>
                <w:lang w:val="en-US" w:eastAsia="zh-CN" w:bidi="ar-SA"/>
              </w:rPr>
              <w:t>通过引入第三方的专业技术和资源，协助</w:t>
            </w:r>
            <w:r>
              <w:rPr>
                <w:rFonts w:hint="eastAsia" w:hAnsi="宋体" w:eastAsia="宋体" w:cs="仿宋"/>
                <w:color w:val="auto"/>
                <w:kern w:val="2"/>
                <w:sz w:val="21"/>
                <w:szCs w:val="21"/>
                <w:highlight w:val="none"/>
                <w:lang w:val="en-US" w:eastAsia="zh-CN" w:bidi="ar-SA"/>
              </w:rPr>
              <w:t>甲方</w:t>
            </w:r>
            <w:r>
              <w:rPr>
                <w:rFonts w:hint="default" w:ascii="宋体" w:hAnsi="宋体" w:eastAsia="宋体" w:cs="仿宋"/>
                <w:color w:val="auto"/>
                <w:kern w:val="2"/>
                <w:sz w:val="21"/>
                <w:szCs w:val="21"/>
                <w:highlight w:val="none"/>
                <w:lang w:val="en-US" w:eastAsia="zh-CN" w:bidi="ar-SA"/>
              </w:rPr>
              <w:t>建立更加完善、高效的医保基金监管体系，一是精准识别违法违规行为，有效遏制医保基金的不合理支出，确保医保基金安全、合理、高效运行；二是提升医保基金监管的智能化水平，利用大数据、人工智能等技术手段，实现对医保数据的分析，提高监管效率和准确性；三是通过医保基金常态化监管机制，对于在数据筛查及现场检查中发现的其它领域问题、加强部门协作及时移交相关线索、强化社会监督等措施，推动医保基金监管工作的规范化发展</w:t>
            </w:r>
            <w:r>
              <w:rPr>
                <w:rFonts w:hint="eastAsia" w:ascii="宋体" w:hAnsi="宋体" w:eastAsia="宋体" w:cs="仿宋"/>
                <w:color w:val="auto"/>
                <w:kern w:val="2"/>
                <w:sz w:val="21"/>
                <w:szCs w:val="21"/>
                <w:highlight w:val="none"/>
                <w:lang w:val="en-US" w:eastAsia="zh-CN" w:bidi="ar-SA"/>
              </w:rPr>
              <w:t>。</w:t>
            </w:r>
          </w:p>
        </w:tc>
      </w:tr>
      <w:tr w14:paraId="7A355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14:paraId="0D914989">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8</w:t>
            </w:r>
          </w:p>
        </w:tc>
        <w:tc>
          <w:tcPr>
            <w:tcW w:w="8775" w:type="dxa"/>
            <w:vAlign w:val="center"/>
          </w:tcPr>
          <w:p w14:paraId="22DF2F95">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验收方式及标准：完成采购人指定的定点机构的数据分析工作和检查工作并移交相关资料。</w:t>
            </w:r>
          </w:p>
        </w:tc>
      </w:tr>
      <w:tr w14:paraId="288C0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14:paraId="24EB6BF8">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9</w:t>
            </w:r>
          </w:p>
        </w:tc>
        <w:tc>
          <w:tcPr>
            <w:tcW w:w="8775" w:type="dxa"/>
            <w:vAlign w:val="center"/>
          </w:tcPr>
          <w:p w14:paraId="32CD7335">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ascii="宋体" w:hAnsi="宋体" w:cs="仿宋"/>
                <w:color w:val="auto"/>
                <w:sz w:val="21"/>
                <w:szCs w:val="21"/>
                <w:highlight w:val="none"/>
              </w:rPr>
            </w:pPr>
            <w:r>
              <w:rPr>
                <w:rFonts w:hint="eastAsia" w:ascii="宋体" w:hAnsi="宋体" w:cs="仿宋"/>
                <w:color w:val="auto"/>
                <w:sz w:val="21"/>
                <w:szCs w:val="21"/>
                <w:highlight w:val="none"/>
              </w:rPr>
              <w:t>付款方式：</w:t>
            </w:r>
            <w:r>
              <w:rPr>
                <w:rFonts w:hint="eastAsia" w:ascii="宋体" w:hAnsi="宋体" w:cs="仿宋"/>
                <w:color w:val="auto"/>
                <w:sz w:val="21"/>
                <w:szCs w:val="21"/>
                <w:highlight w:val="none"/>
              </w:rPr>
              <w:t>合同签订后，达到付款条件起30日内，支付合同总金额的50%。待整个服务结束后，次年第一季度组织相关领域专家进行项目验收</w:t>
            </w:r>
            <w:r>
              <w:rPr>
                <w:rFonts w:hint="eastAsia" w:ascii="宋体" w:hAnsi="宋体" w:cs="仿宋"/>
                <w:color w:val="auto"/>
                <w:sz w:val="21"/>
                <w:szCs w:val="21"/>
                <w:highlight w:val="none"/>
                <w:lang w:eastAsia="zh-CN"/>
              </w:rPr>
              <w:t>，财政资金到位且确认验收合格后</w:t>
            </w:r>
            <w:r>
              <w:rPr>
                <w:rFonts w:hint="eastAsia" w:ascii="宋体" w:hAnsi="宋体" w:cs="仿宋"/>
                <w:color w:val="auto"/>
                <w:sz w:val="21"/>
                <w:szCs w:val="21"/>
                <w:highlight w:val="none"/>
              </w:rPr>
              <w:t>，达到付款条件起30日内，支付合同总金额的50%。</w:t>
            </w:r>
            <w:r>
              <w:rPr>
                <w:rFonts w:hint="eastAsia" w:ascii="宋体" w:hAnsi="宋体" w:cs="仿宋"/>
                <w:color w:val="auto"/>
                <w:sz w:val="21"/>
                <w:szCs w:val="21"/>
                <w:highlight w:val="none"/>
              </w:rPr>
              <w:t>甲方付款前，乙方应提供等额增值税</w:t>
            </w:r>
            <w:r>
              <w:rPr>
                <w:rFonts w:hint="eastAsia" w:ascii="宋体" w:hAnsi="宋体" w:cs="仿宋"/>
                <w:color w:val="auto"/>
                <w:sz w:val="21"/>
                <w:szCs w:val="21"/>
                <w:highlight w:val="none"/>
                <w:lang w:eastAsia="zh-CN"/>
              </w:rPr>
              <w:t>普通发票</w:t>
            </w:r>
            <w:r>
              <w:rPr>
                <w:rFonts w:hint="eastAsia" w:ascii="宋体" w:hAnsi="宋体" w:cs="仿宋"/>
                <w:color w:val="auto"/>
                <w:sz w:val="21"/>
                <w:szCs w:val="21"/>
                <w:highlight w:val="none"/>
              </w:rPr>
              <w:t>，乙方提供发票瑕疵或迟延的，甲方付款期限顺延。</w:t>
            </w:r>
          </w:p>
        </w:tc>
      </w:tr>
      <w:tr w14:paraId="51EB6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14:paraId="383F4C14">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10</w:t>
            </w:r>
          </w:p>
        </w:tc>
        <w:tc>
          <w:tcPr>
            <w:tcW w:w="8775" w:type="dxa"/>
            <w:vAlign w:val="center"/>
          </w:tcPr>
          <w:p w14:paraId="4B43D476">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宋体" w:hAnsi="宋体" w:cs="仿宋"/>
                <w:color w:val="auto"/>
                <w:sz w:val="21"/>
                <w:szCs w:val="21"/>
                <w:highlight w:val="none"/>
              </w:rPr>
            </w:pPr>
            <w:r>
              <w:rPr>
                <w:rFonts w:hint="eastAsia" w:ascii="宋体" w:hAnsi="宋体" w:cs="仿宋"/>
                <w:color w:val="auto"/>
                <w:sz w:val="21"/>
                <w:szCs w:val="21"/>
                <w:highlight w:val="none"/>
              </w:rPr>
              <w:t>☑违约金约定：乙方未能如期开展项目</w:t>
            </w:r>
            <w:r>
              <w:rPr>
                <w:rFonts w:hint="eastAsia" w:ascii="宋体" w:hAnsi="宋体" w:cs="仿宋"/>
                <w:color w:val="auto"/>
                <w:sz w:val="21"/>
                <w:szCs w:val="21"/>
                <w:highlight w:val="none"/>
                <w:lang w:val="en-US" w:eastAsia="zh-CN"/>
              </w:rPr>
              <w:t>或迟延完成本合同约定事项</w:t>
            </w:r>
            <w:r>
              <w:rPr>
                <w:rFonts w:hint="eastAsia" w:ascii="宋体" w:hAnsi="宋体" w:cs="仿宋"/>
                <w:color w:val="auto"/>
                <w:sz w:val="21"/>
                <w:szCs w:val="21"/>
                <w:highlight w:val="none"/>
              </w:rPr>
              <w:t>的，每日向甲方支付合同款项的千分之六作为违约金。乙方超过约定日期10个工作日仍不能开展的，甲方可解除本合同。乙方因未能如期开展项目工作或因其他违约行为导致甲方解除合同的，</w:t>
            </w:r>
            <w:r>
              <w:rPr>
                <w:rFonts w:hint="eastAsia" w:ascii="宋体" w:hAnsi="宋体" w:cs="仿宋"/>
                <w:color w:val="auto"/>
                <w:sz w:val="21"/>
                <w:szCs w:val="21"/>
                <w:highlight w:val="none"/>
                <w:lang w:val="en-US" w:eastAsia="zh-CN"/>
              </w:rPr>
              <w:t>除承担相应违约金、退还已就本合同收取甲方的款项外还需额外</w:t>
            </w:r>
            <w:r>
              <w:rPr>
                <w:rFonts w:hint="eastAsia" w:ascii="宋体" w:hAnsi="宋体" w:cs="仿宋"/>
                <w:color w:val="auto"/>
                <w:sz w:val="21"/>
                <w:szCs w:val="21"/>
                <w:highlight w:val="none"/>
              </w:rPr>
              <w:t>向甲方支付合同总值5%的违约金，如造成甲方损失超过违约金的，超出部分由乙方继续承担赔偿责任。</w:t>
            </w:r>
          </w:p>
          <w:p w14:paraId="2903037B">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□损失赔偿约定：</w:t>
            </w:r>
          </w:p>
        </w:tc>
      </w:tr>
      <w:tr w14:paraId="6EA59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14:paraId="337FECE7">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11</w:t>
            </w:r>
          </w:p>
        </w:tc>
        <w:tc>
          <w:tcPr>
            <w:tcW w:w="8775" w:type="dxa"/>
            <w:vAlign w:val="center"/>
          </w:tcPr>
          <w:p w14:paraId="026A4225">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误期赔偿费约定：无</w:t>
            </w:r>
          </w:p>
        </w:tc>
      </w:tr>
      <w:tr w14:paraId="3E6E3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14:paraId="2BF166A8">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12</w:t>
            </w:r>
          </w:p>
        </w:tc>
        <w:tc>
          <w:tcPr>
            <w:tcW w:w="8775" w:type="dxa"/>
            <w:vAlign w:val="center"/>
          </w:tcPr>
          <w:p w14:paraId="58FC24B1">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合同履行期限：合同签订之日起一年内</w:t>
            </w:r>
          </w:p>
        </w:tc>
      </w:tr>
      <w:tr w14:paraId="4D905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4" w:type="dxa"/>
            <w:vAlign w:val="center"/>
          </w:tcPr>
          <w:p w14:paraId="37961A89">
            <w:pPr>
              <w:pStyle w:val="9"/>
              <w:keepNext w:val="0"/>
              <w:keepLines w:val="0"/>
              <w:pageBreakBefore w:val="0"/>
              <w:widowControl w:val="0"/>
              <w:kinsoku/>
              <w:wordWrap/>
              <w:overflowPunct/>
              <w:topLinePunct w:val="0"/>
              <w:autoSpaceDE/>
              <w:autoSpaceDN/>
              <w:bidi w:val="0"/>
              <w:spacing w:line="360" w:lineRule="exact"/>
              <w:jc w:val="center"/>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13</w:t>
            </w:r>
          </w:p>
        </w:tc>
        <w:tc>
          <w:tcPr>
            <w:tcW w:w="8775" w:type="dxa"/>
            <w:vAlign w:val="center"/>
          </w:tcPr>
          <w:p w14:paraId="4AB55DD3">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合同纠纷的解决方式：</w:t>
            </w:r>
          </w:p>
          <w:p w14:paraId="0214E933">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rPr>
              <w:t>首先通过双方协商解决，协商解决不成，则通过以下途径之一解决纠纷(请在方框内画“√”选择)：</w:t>
            </w:r>
          </w:p>
          <w:p w14:paraId="42356B70">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ascii="Apple Color Emoji" w:hAnsi="Apple Color Emoji" w:eastAsia="宋体" w:cs="Apple Color Emoji"/>
                <w:color w:val="auto"/>
                <w:sz w:val="21"/>
                <w:szCs w:val="21"/>
                <w:highlight w:val="none"/>
                <w:lang w:eastAsia="zh-CN"/>
              </w:rPr>
              <w:t>□</w:t>
            </w:r>
            <w:r>
              <w:rPr>
                <w:rFonts w:hint="eastAsia" w:hAnsi="宋体" w:eastAsia="宋体" w:cs="仿宋"/>
                <w:color w:val="auto"/>
                <w:sz w:val="21"/>
                <w:szCs w:val="21"/>
                <w:highlight w:val="none"/>
              </w:rPr>
              <w:t>提请</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rPr>
              <w:t>仲裁委员会按照仲裁程序在</w:t>
            </w:r>
            <w:r>
              <w:rPr>
                <w:rFonts w:hint="eastAsia" w:hAnsi="宋体" w:eastAsia="宋体" w:cs="仿宋"/>
                <w:color w:val="auto"/>
                <w:sz w:val="21"/>
                <w:szCs w:val="21"/>
                <w:highlight w:val="none"/>
                <w:u w:val="single"/>
                <w:lang w:val="en-US" w:eastAsia="zh-CN"/>
              </w:rPr>
              <w:t xml:space="preserve">    </w:t>
            </w:r>
            <w:r>
              <w:rPr>
                <w:rFonts w:hint="eastAsia" w:hAnsi="宋体" w:eastAsia="宋体" w:cs="仿宋"/>
                <w:color w:val="auto"/>
                <w:sz w:val="21"/>
                <w:szCs w:val="21"/>
                <w:highlight w:val="none"/>
              </w:rPr>
              <w:t>(仲裁地)仲裁</w:t>
            </w:r>
          </w:p>
          <w:p w14:paraId="1D7BBBAB">
            <w:pPr>
              <w:pStyle w:val="9"/>
              <w:keepNext w:val="0"/>
              <w:keepLines w:val="0"/>
              <w:pageBreakBefore w:val="0"/>
              <w:widowControl w:val="0"/>
              <w:kinsoku/>
              <w:wordWrap/>
              <w:overflowPunct/>
              <w:topLinePunct w:val="0"/>
              <w:autoSpaceDE/>
              <w:autoSpaceDN/>
              <w:bidi w:val="0"/>
              <w:spacing w:line="360" w:lineRule="exact"/>
              <w:jc w:val="left"/>
              <w:textAlignment w:val="auto"/>
              <w:rPr>
                <w:rFonts w:hAnsi="宋体" w:eastAsia="宋体" w:cs="仿宋"/>
                <w:color w:val="auto"/>
                <w:sz w:val="21"/>
                <w:szCs w:val="21"/>
                <w:highlight w:val="none"/>
              </w:rPr>
            </w:pPr>
            <w:r>
              <w:rPr>
                <w:rFonts w:hint="eastAsia" w:hAnsi="宋体" w:eastAsia="宋体" w:cs="仿宋"/>
                <w:color w:val="auto"/>
                <w:sz w:val="21"/>
                <w:szCs w:val="21"/>
                <w:highlight w:val="none"/>
                <w:lang w:eastAsia="zh-CN"/>
              </w:rPr>
              <w:t>☑</w:t>
            </w:r>
            <w:r>
              <w:rPr>
                <w:rFonts w:hint="eastAsia" w:hAnsi="宋体" w:eastAsia="宋体" w:cs="仿宋"/>
                <w:color w:val="auto"/>
                <w:sz w:val="21"/>
                <w:szCs w:val="21"/>
                <w:highlight w:val="none"/>
              </w:rPr>
              <w:t>向甲方所在地人民法院提起诉讼</w:t>
            </w:r>
          </w:p>
        </w:tc>
      </w:tr>
    </w:tbl>
    <w:p w14:paraId="747ADA15">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1.定义</w:t>
      </w:r>
    </w:p>
    <w:p w14:paraId="51C5317E">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本合同下列术语应解释为：</w:t>
      </w:r>
    </w:p>
    <w:p w14:paraId="29ACEE5D">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1.1“甲方”是指采购人。</w:t>
      </w:r>
    </w:p>
    <w:p w14:paraId="49C770F3">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1.2“乙方”是指</w:t>
      </w:r>
      <w:r>
        <w:rPr>
          <w:rFonts w:hint="eastAsia" w:hAnsi="宋体" w:eastAsia="宋体" w:cs="仿宋"/>
          <w:color w:val="auto"/>
          <w:sz w:val="21"/>
          <w:szCs w:val="21"/>
          <w:highlight w:val="none"/>
          <w:lang w:eastAsia="zh-CN"/>
        </w:rPr>
        <w:t>成交供应商</w:t>
      </w:r>
      <w:r>
        <w:rPr>
          <w:rFonts w:hint="eastAsia" w:hAnsi="宋体" w:eastAsia="宋体" w:cs="仿宋"/>
          <w:color w:val="auto"/>
          <w:sz w:val="21"/>
          <w:szCs w:val="21"/>
          <w:highlight w:val="none"/>
        </w:rPr>
        <w:t>。</w:t>
      </w:r>
    </w:p>
    <w:p w14:paraId="3467C6C3">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1.3“合同”系指甲乙双方签署的、合同中载明的甲乙双方所达成的协议，包括所有的附件、附录和上述文件所提到的构成合同的所有文件。</w:t>
      </w:r>
    </w:p>
    <w:p w14:paraId="4A6635AA">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1.4“服务”是指乙方按照招标(采购)、投标(响应)文件要求，向采购人提供的技术支持服务。</w:t>
      </w:r>
    </w:p>
    <w:p w14:paraId="0828BDB6">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1.5“项目现场”是指甲方指定的最终服务地点。</w:t>
      </w:r>
    </w:p>
    <w:p w14:paraId="039E5C5D">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1.6“天”除非特别指出，“天”均为自然天。</w:t>
      </w:r>
    </w:p>
    <w:p w14:paraId="38C37655">
      <w:pPr>
        <w:pStyle w:val="9"/>
        <w:spacing w:line="360" w:lineRule="auto"/>
        <w:rPr>
          <w:rFonts w:hAnsi="宋体" w:eastAsia="宋体" w:cs="仿宋"/>
          <w:color w:val="auto"/>
          <w:sz w:val="21"/>
          <w:szCs w:val="21"/>
          <w:highlight w:val="none"/>
        </w:rPr>
      </w:pPr>
      <w:r>
        <w:rPr>
          <w:rFonts w:hint="eastAsia" w:hAnsi="宋体" w:eastAsia="宋体" w:cs="仿宋"/>
          <w:color w:val="auto"/>
          <w:sz w:val="21"/>
          <w:szCs w:val="21"/>
          <w:highlight w:val="none"/>
        </w:rPr>
        <w:t>2</w:t>
      </w:r>
      <w:r>
        <w:rPr>
          <w:rFonts w:hint="eastAsia" w:hAnsi="宋体" w:eastAsia="宋体" w:cs="仿宋"/>
          <w:b/>
          <w:color w:val="auto"/>
          <w:sz w:val="21"/>
          <w:szCs w:val="21"/>
          <w:highlight w:val="none"/>
        </w:rPr>
        <w:t>.服务标准</w:t>
      </w:r>
    </w:p>
    <w:p w14:paraId="1F2A93F7">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2.1乙方为甲方交付的服务应符合招标文件所述的内容，如果没有提及适用标准，则应符合相应的国家标准。这些标准必须是有关机构发布的最新版本的标准。</w:t>
      </w:r>
    </w:p>
    <w:p w14:paraId="64E22B30">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2.2除非技术要求中另有规定，计量单位均采用中华人民共和国法定计量单位。</w:t>
      </w:r>
    </w:p>
    <w:p w14:paraId="2C7EC91C">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3.服务内容</w:t>
      </w:r>
    </w:p>
    <w:p w14:paraId="41E090DE">
      <w:pPr>
        <w:pStyle w:val="12"/>
        <w:spacing w:line="360" w:lineRule="auto"/>
        <w:rPr>
          <w:rFonts w:hint="default" w:cs="仿宋_GB2312" w:asciiTheme="minorAscii" w:hAnsiTheme="minorAscii" w:eastAsiaTheme="minorEastAsia"/>
          <w:color w:val="auto"/>
          <w:sz w:val="21"/>
          <w:szCs w:val="21"/>
          <w:highlight w:val="none"/>
          <w:lang w:val="en-US" w:eastAsia="zh-CN"/>
        </w:rPr>
      </w:pPr>
      <w:r>
        <w:rPr>
          <w:rFonts w:hint="eastAsia" w:cs="仿宋_GB2312" w:asciiTheme="minorAscii" w:hAnsiTheme="minorAscii" w:eastAsiaTheme="minorEastAsia"/>
          <w:color w:val="auto"/>
          <w:sz w:val="21"/>
          <w:szCs w:val="21"/>
          <w:highlight w:val="none"/>
          <w:lang w:val="en-US" w:eastAsia="zh-CN"/>
        </w:rPr>
        <w:t>3.1服务内容</w:t>
      </w:r>
    </w:p>
    <w:p w14:paraId="0BC345D3">
      <w:pPr>
        <w:pStyle w:val="12"/>
        <w:spacing w:line="360" w:lineRule="auto"/>
        <w:rPr>
          <w:rFonts w:hint="default" w:cs="仿宋_GB2312" w:asciiTheme="minorAscii" w:hAnsiTheme="minorAscii" w:eastAsiaTheme="minorEastAsia"/>
          <w:color w:val="auto"/>
          <w:sz w:val="21"/>
          <w:szCs w:val="21"/>
          <w:highlight w:val="none"/>
          <w:lang w:val="en-US" w:eastAsia="zh-CN"/>
        </w:rPr>
      </w:pPr>
      <w:r>
        <w:rPr>
          <w:rFonts w:hint="default" w:cs="仿宋_GB2312" w:asciiTheme="minorAscii" w:hAnsiTheme="minorAscii" w:eastAsiaTheme="minorEastAsia"/>
          <w:color w:val="auto"/>
          <w:sz w:val="21"/>
          <w:szCs w:val="21"/>
          <w:highlight w:val="none"/>
          <w:lang w:val="en-US" w:eastAsia="zh-CN"/>
        </w:rPr>
        <w:t>通过引入第三方的专业技术和资源，协助</w:t>
      </w:r>
      <w:r>
        <w:rPr>
          <w:rFonts w:hint="eastAsia" w:cs="仿宋_GB2312" w:asciiTheme="minorAscii" w:hAnsiTheme="minorAscii" w:eastAsiaTheme="minorEastAsia"/>
          <w:color w:val="auto"/>
          <w:sz w:val="21"/>
          <w:szCs w:val="21"/>
          <w:highlight w:val="none"/>
          <w:lang w:val="en-US" w:eastAsia="zh-CN"/>
        </w:rPr>
        <w:t>甲方</w:t>
      </w:r>
      <w:r>
        <w:rPr>
          <w:rFonts w:hint="default" w:cs="仿宋_GB2312" w:asciiTheme="minorAscii" w:hAnsiTheme="minorAscii" w:eastAsiaTheme="minorEastAsia"/>
          <w:color w:val="auto"/>
          <w:sz w:val="21"/>
          <w:szCs w:val="21"/>
          <w:highlight w:val="none"/>
          <w:lang w:val="en-US" w:eastAsia="zh-CN"/>
        </w:rPr>
        <w:t>建立更加完善、高效的医保基金监管体系，一是精准识别违法违规行为，有效遏制医保基金的不合理支出，确保医保基金安全、合理、高效运行；二是提升医保基金监管的智能化水平，利用大数据、人工智能等技术手段，实现对医保数据的分析，提高监管效率和准确性；三是通过医保基金常态化监管机制，对于在数据筛查及现场检查中发现的其它领域问题、加强部门协作及时移交相关线索、强化社会监督等措施，推动医保基金监管工作的规范化发展</w:t>
      </w:r>
      <w:r>
        <w:rPr>
          <w:rFonts w:hint="eastAsia" w:cs="仿宋_GB2312" w:asciiTheme="minorAscii" w:hAnsiTheme="minorAscii" w:eastAsiaTheme="minorEastAsia"/>
          <w:color w:val="auto"/>
          <w:sz w:val="21"/>
          <w:szCs w:val="21"/>
          <w:highlight w:val="none"/>
          <w:lang w:val="en-US" w:eastAsia="zh-CN"/>
        </w:rPr>
        <w:t>。</w:t>
      </w:r>
    </w:p>
    <w:p w14:paraId="4A1586EF">
      <w:pPr>
        <w:pStyle w:val="12"/>
        <w:spacing w:line="360" w:lineRule="auto"/>
        <w:rPr>
          <w:rFonts w:hint="default" w:cs="仿宋_GB2312" w:asciiTheme="minorAscii" w:hAnsiTheme="minorAscii" w:eastAsiaTheme="minorEastAsia"/>
          <w:color w:val="auto"/>
          <w:sz w:val="21"/>
          <w:szCs w:val="21"/>
          <w:highlight w:val="none"/>
          <w:lang w:val="en-US" w:eastAsia="zh-CN"/>
        </w:rPr>
      </w:pPr>
      <w:r>
        <w:rPr>
          <w:rFonts w:hint="eastAsia" w:cs="仿宋_GB2312" w:asciiTheme="minorAscii" w:hAnsiTheme="minorAscii" w:eastAsiaTheme="minorEastAsia"/>
          <w:color w:val="auto"/>
          <w:sz w:val="21"/>
          <w:szCs w:val="21"/>
          <w:highlight w:val="none"/>
          <w:lang w:val="en-US" w:eastAsia="zh-CN"/>
        </w:rPr>
        <w:t>3.2具体要求</w:t>
      </w:r>
    </w:p>
    <w:p w14:paraId="3DF33077">
      <w:pPr>
        <w:pStyle w:val="12"/>
        <w:spacing w:line="360" w:lineRule="auto"/>
        <w:rPr>
          <w:rFonts w:hint="default" w:cs="仿宋_GB2312" w:asciiTheme="minorAscii" w:hAnsiTheme="minorAscii" w:eastAsiaTheme="minorEastAsia"/>
          <w:color w:val="auto"/>
          <w:sz w:val="21"/>
          <w:szCs w:val="21"/>
          <w:highlight w:val="none"/>
          <w:lang w:val="en-US" w:eastAsia="zh-CN"/>
        </w:rPr>
      </w:pPr>
      <w:r>
        <w:rPr>
          <w:rFonts w:hint="default" w:cs="仿宋_GB2312" w:asciiTheme="minorAscii" w:hAnsiTheme="minorAscii" w:eastAsiaTheme="minorEastAsia"/>
          <w:color w:val="auto"/>
          <w:sz w:val="21"/>
          <w:szCs w:val="21"/>
          <w:highlight w:val="none"/>
          <w:lang w:val="en-US" w:eastAsia="zh-CN"/>
        </w:rPr>
        <w:t>（一）开展年度检查数据筛查。按照国家及省医保2025年监管工作重点，结合西安市的年度工作计划，向各区（县）、开发区医保部门下发不少于300家二级定点医疗机构及统筹药店疑似问题数据，充分利用大数据分析对医药机构进行数据筛查，出具数据分析报告并按需派专家指导各级医保部门开展检查及后续处理工作。</w:t>
      </w:r>
    </w:p>
    <w:p w14:paraId="7F996DE0">
      <w:pPr>
        <w:pStyle w:val="12"/>
        <w:spacing w:line="360" w:lineRule="auto"/>
        <w:rPr>
          <w:rFonts w:hint="default" w:cs="仿宋_GB2312" w:asciiTheme="minorAscii" w:hAnsiTheme="minorAscii" w:eastAsiaTheme="minorEastAsia"/>
          <w:color w:val="auto"/>
          <w:sz w:val="21"/>
          <w:szCs w:val="21"/>
          <w:highlight w:val="none"/>
          <w:lang w:val="en-US" w:eastAsia="zh-CN"/>
        </w:rPr>
      </w:pPr>
      <w:r>
        <w:rPr>
          <w:rFonts w:hint="default" w:cs="仿宋_GB2312" w:asciiTheme="minorAscii" w:hAnsiTheme="minorAscii" w:eastAsiaTheme="minorEastAsia"/>
          <w:color w:val="auto"/>
          <w:sz w:val="21"/>
          <w:szCs w:val="21"/>
          <w:highlight w:val="none"/>
          <w:lang w:val="en-US" w:eastAsia="zh-CN"/>
        </w:rPr>
        <w:t>（二）配合开展现场检查。根据市局实际工作需要及安排，配合各级飞检或专项检查数据筛查及现场检查工作。</w:t>
      </w:r>
    </w:p>
    <w:p w14:paraId="04103B04">
      <w:pPr>
        <w:pStyle w:val="12"/>
        <w:spacing w:line="360" w:lineRule="auto"/>
        <w:rPr>
          <w:rFonts w:hint="default" w:cs="仿宋_GB2312" w:asciiTheme="minorAscii" w:hAnsiTheme="minorAscii" w:eastAsiaTheme="minorEastAsia"/>
          <w:color w:val="auto"/>
          <w:sz w:val="21"/>
          <w:szCs w:val="21"/>
          <w:highlight w:val="none"/>
          <w:lang w:val="en-US" w:eastAsia="zh-CN"/>
        </w:rPr>
      </w:pPr>
      <w:r>
        <w:rPr>
          <w:rFonts w:hint="default" w:cs="仿宋_GB2312" w:asciiTheme="minorAscii" w:hAnsiTheme="minorAscii" w:eastAsiaTheme="minorEastAsia"/>
          <w:color w:val="auto"/>
          <w:sz w:val="21"/>
          <w:szCs w:val="21"/>
          <w:highlight w:val="none"/>
          <w:lang w:val="en-US" w:eastAsia="zh-CN"/>
        </w:rPr>
        <w:t>（三）开展交叉检查。根据我市监管工作实际情况，下半年针对自查自纠成效靠后的区县，市局牵头组织对相关区县不超过15家医院及药店开展交叉检查，配合派出专家及技术人员开展现场检查及数据分析。</w:t>
      </w:r>
    </w:p>
    <w:p w14:paraId="6CEB2AB4">
      <w:pPr>
        <w:pStyle w:val="12"/>
        <w:spacing w:line="360" w:lineRule="auto"/>
        <w:rPr>
          <w:rFonts w:hint="default" w:cs="仿宋_GB2312" w:asciiTheme="minorAscii" w:hAnsiTheme="minorAscii" w:eastAsiaTheme="minorEastAsia"/>
          <w:color w:val="auto"/>
          <w:sz w:val="21"/>
          <w:szCs w:val="21"/>
          <w:highlight w:val="none"/>
          <w:lang w:val="en-US" w:eastAsia="zh-CN"/>
        </w:rPr>
      </w:pPr>
      <w:r>
        <w:rPr>
          <w:rFonts w:hint="default" w:cs="仿宋_GB2312" w:asciiTheme="minorAscii" w:hAnsiTheme="minorAscii" w:eastAsiaTheme="minorEastAsia"/>
          <w:color w:val="auto"/>
          <w:sz w:val="21"/>
          <w:szCs w:val="21"/>
          <w:highlight w:val="none"/>
          <w:lang w:val="en-US" w:eastAsia="zh-CN"/>
        </w:rPr>
        <w:t>（四）驻场服务。派驻1名具有较强的医保基金监管经验的人员，派驻期间服从市医保局管理，派驻时间1年。</w:t>
      </w:r>
    </w:p>
    <w:p w14:paraId="3084DAB0">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4.付款方式</w:t>
      </w:r>
    </w:p>
    <w:p w14:paraId="1E3260AC">
      <w:pPr>
        <w:pStyle w:val="12"/>
        <w:spacing w:line="360" w:lineRule="auto"/>
        <w:rPr>
          <w:rFonts w:hint="eastAsia" w:ascii="宋体" w:hAnsi="宋体" w:cs="仿宋"/>
          <w:color w:val="auto"/>
          <w:sz w:val="21"/>
          <w:szCs w:val="21"/>
          <w:highlight w:val="none"/>
        </w:rPr>
      </w:pPr>
      <w:r>
        <w:rPr>
          <w:rFonts w:hint="eastAsia" w:ascii="宋体" w:hAnsi="宋体" w:cs="仿宋"/>
          <w:color w:val="auto"/>
          <w:sz w:val="21"/>
          <w:szCs w:val="21"/>
          <w:highlight w:val="none"/>
        </w:rPr>
        <w:t>根据省财政厅《陕西省财政厅关于进一步加大政府采购支持中小企业的通知》（陕财办采【2022】5号）要求，付款方式如下：</w:t>
      </w:r>
    </w:p>
    <w:p w14:paraId="0B8E8E59">
      <w:pPr>
        <w:pStyle w:val="12"/>
        <w:spacing w:line="360" w:lineRule="auto"/>
        <w:rPr>
          <w:rFonts w:hint="default" w:cs="仿宋_GB2312" w:asciiTheme="minorAscii" w:hAnsiTheme="minorAscii" w:eastAsiaTheme="minorEastAsia"/>
          <w:color w:val="auto"/>
          <w:sz w:val="21"/>
          <w:szCs w:val="21"/>
          <w:highlight w:val="none"/>
        </w:rPr>
      </w:pPr>
      <w:r>
        <w:rPr>
          <w:rFonts w:hint="default" w:cs="仿宋_GB2312" w:asciiTheme="minorAscii" w:hAnsiTheme="minorAscii" w:eastAsiaTheme="minorEastAsia"/>
          <w:color w:val="auto"/>
          <w:sz w:val="21"/>
          <w:szCs w:val="21"/>
          <w:highlight w:val="none"/>
          <w:lang w:val="en-US" w:eastAsia="zh-CN"/>
        </w:rPr>
        <w:t>合同签订后</w:t>
      </w:r>
      <w:r>
        <w:rPr>
          <w:rFonts w:hint="default" w:cs="仿宋_GB2312" w:asciiTheme="minorAscii" w:hAnsiTheme="minorAscii" w:eastAsiaTheme="minorEastAsia"/>
          <w:color w:val="auto"/>
          <w:sz w:val="21"/>
          <w:szCs w:val="21"/>
          <w:highlight w:val="none"/>
          <w:lang w:eastAsia="zh-CN"/>
        </w:rPr>
        <w:t>，</w:t>
      </w:r>
      <w:r>
        <w:rPr>
          <w:rFonts w:hint="default" w:cs="仿宋_GB2312" w:asciiTheme="minorAscii" w:hAnsiTheme="minorAscii" w:eastAsiaTheme="minorEastAsia"/>
          <w:color w:val="auto"/>
          <w:sz w:val="21"/>
          <w:szCs w:val="21"/>
          <w:highlight w:val="none"/>
        </w:rPr>
        <w:t>达到付款条件起</w:t>
      </w:r>
      <w:r>
        <w:rPr>
          <w:rFonts w:hint="default" w:cs="仿宋_GB2312" w:asciiTheme="minorAscii" w:hAnsiTheme="minorAscii" w:eastAsiaTheme="minorEastAsia"/>
          <w:color w:val="auto"/>
          <w:sz w:val="21"/>
          <w:szCs w:val="21"/>
          <w:highlight w:val="none"/>
          <w:lang w:val="en-US" w:eastAsia="zh-CN"/>
        </w:rPr>
        <w:t>30</w:t>
      </w:r>
      <w:r>
        <w:rPr>
          <w:rFonts w:hint="default" w:cs="仿宋_GB2312" w:asciiTheme="minorAscii" w:hAnsiTheme="minorAscii" w:eastAsiaTheme="minorEastAsia"/>
          <w:color w:val="auto"/>
          <w:sz w:val="21"/>
          <w:szCs w:val="21"/>
          <w:highlight w:val="none"/>
        </w:rPr>
        <w:t>日内，支付合同总金额的</w:t>
      </w:r>
      <w:r>
        <w:rPr>
          <w:rFonts w:hint="default" w:cs="仿宋_GB2312" w:asciiTheme="minorAscii" w:hAnsiTheme="minorAscii" w:eastAsiaTheme="minorEastAsia"/>
          <w:color w:val="auto"/>
          <w:sz w:val="21"/>
          <w:szCs w:val="21"/>
          <w:highlight w:val="none"/>
          <w:lang w:val="en-US" w:eastAsia="zh-CN"/>
        </w:rPr>
        <w:t>50</w:t>
      </w:r>
      <w:r>
        <w:rPr>
          <w:rFonts w:hint="default" w:cs="仿宋_GB2312" w:asciiTheme="minorAscii" w:hAnsiTheme="minorAscii" w:eastAsiaTheme="minorEastAsia"/>
          <w:color w:val="auto"/>
          <w:sz w:val="21"/>
          <w:szCs w:val="21"/>
          <w:highlight w:val="none"/>
        </w:rPr>
        <w:t>%。待整个服务结束后，次年第一季度组织相关领域专家进行项目验收</w:t>
      </w:r>
      <w:r>
        <w:rPr>
          <w:rFonts w:hint="eastAsia" w:cs="仿宋_GB2312" w:asciiTheme="minorAscii" w:hAnsiTheme="minorAscii" w:eastAsiaTheme="minorEastAsia"/>
          <w:color w:val="auto"/>
          <w:sz w:val="21"/>
          <w:szCs w:val="21"/>
          <w:highlight w:val="none"/>
          <w:lang w:eastAsia="zh-CN"/>
        </w:rPr>
        <w:t>，财政资金到位且确认验收合格后</w:t>
      </w:r>
      <w:r>
        <w:rPr>
          <w:rFonts w:hint="default" w:cs="仿宋_GB2312" w:asciiTheme="minorAscii" w:hAnsiTheme="minorAscii" w:eastAsiaTheme="minorEastAsia"/>
          <w:color w:val="auto"/>
          <w:sz w:val="21"/>
          <w:szCs w:val="21"/>
          <w:highlight w:val="none"/>
        </w:rPr>
        <w:t>，达到付款条件起</w:t>
      </w:r>
      <w:r>
        <w:rPr>
          <w:rFonts w:hint="default" w:cs="仿宋_GB2312" w:asciiTheme="minorAscii" w:hAnsiTheme="minorAscii" w:eastAsiaTheme="minorEastAsia"/>
          <w:color w:val="auto"/>
          <w:sz w:val="21"/>
          <w:szCs w:val="21"/>
          <w:highlight w:val="none"/>
          <w:lang w:val="en-US" w:eastAsia="zh-CN"/>
        </w:rPr>
        <w:t>30</w:t>
      </w:r>
      <w:r>
        <w:rPr>
          <w:rFonts w:hint="default" w:cs="仿宋_GB2312" w:asciiTheme="minorAscii" w:hAnsiTheme="minorAscii" w:eastAsiaTheme="minorEastAsia"/>
          <w:color w:val="auto"/>
          <w:sz w:val="21"/>
          <w:szCs w:val="21"/>
          <w:highlight w:val="none"/>
        </w:rPr>
        <w:t>日内，支付合同总金额的</w:t>
      </w:r>
      <w:r>
        <w:rPr>
          <w:rFonts w:hint="default" w:cs="仿宋_GB2312" w:asciiTheme="minorAscii" w:hAnsiTheme="minorAscii" w:eastAsiaTheme="minorEastAsia"/>
          <w:color w:val="auto"/>
          <w:sz w:val="21"/>
          <w:szCs w:val="21"/>
          <w:highlight w:val="none"/>
          <w:lang w:val="en-US" w:eastAsia="zh-CN"/>
        </w:rPr>
        <w:t>50</w:t>
      </w:r>
      <w:r>
        <w:rPr>
          <w:rFonts w:hint="default" w:cs="仿宋_GB2312" w:asciiTheme="minorAscii" w:hAnsiTheme="minorAscii" w:eastAsiaTheme="minorEastAsia"/>
          <w:color w:val="auto"/>
          <w:sz w:val="21"/>
          <w:szCs w:val="21"/>
          <w:highlight w:val="none"/>
        </w:rPr>
        <w:t>%。</w:t>
      </w:r>
    </w:p>
    <w:p w14:paraId="25753EE2">
      <w:pPr>
        <w:pStyle w:val="12"/>
        <w:spacing w:line="360" w:lineRule="auto"/>
        <w:rPr>
          <w:rFonts w:ascii="宋体" w:hAnsi="宋体" w:cs="仿宋"/>
          <w:b/>
          <w:color w:val="auto"/>
          <w:sz w:val="21"/>
          <w:szCs w:val="21"/>
          <w:highlight w:val="none"/>
        </w:rPr>
      </w:pPr>
      <w:r>
        <w:rPr>
          <w:rFonts w:hint="eastAsia" w:ascii="宋体" w:hAnsi="宋体" w:cs="仿宋"/>
          <w:color w:val="auto"/>
          <w:sz w:val="21"/>
          <w:szCs w:val="21"/>
          <w:highlight w:val="none"/>
        </w:rPr>
        <w:t>甲方付款前，乙方应提供等额增值税</w:t>
      </w:r>
      <w:r>
        <w:rPr>
          <w:rFonts w:hint="eastAsia" w:ascii="宋体" w:hAnsi="宋体" w:cs="仿宋"/>
          <w:color w:val="auto"/>
          <w:sz w:val="21"/>
          <w:szCs w:val="21"/>
          <w:highlight w:val="none"/>
          <w:lang w:eastAsia="zh-CN"/>
        </w:rPr>
        <w:t>普通发票</w:t>
      </w:r>
      <w:r>
        <w:rPr>
          <w:rFonts w:hint="eastAsia" w:ascii="宋体" w:hAnsi="宋体" w:cs="仿宋"/>
          <w:color w:val="auto"/>
          <w:sz w:val="21"/>
          <w:szCs w:val="21"/>
          <w:highlight w:val="none"/>
        </w:rPr>
        <w:t>，乙方提供发票瑕疵或迟延的，甲方付款期限顺延。</w:t>
      </w:r>
    </w:p>
    <w:p w14:paraId="7BB0C887">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5.知识产权</w:t>
      </w:r>
    </w:p>
    <w:p w14:paraId="394D2832">
      <w:pPr>
        <w:pStyle w:val="23"/>
        <w:tabs>
          <w:tab w:val="left" w:pos="1060"/>
        </w:tabs>
        <w:autoSpaceDE w:val="0"/>
        <w:autoSpaceDN w:val="0"/>
        <w:spacing w:line="360" w:lineRule="auto"/>
        <w:ind w:firstLine="480"/>
        <w:jc w:val="left"/>
        <w:rPr>
          <w:rFonts w:ascii="宋体" w:hAnsi="宋体" w:cs="仿宋"/>
          <w:color w:val="auto"/>
          <w:sz w:val="21"/>
          <w:szCs w:val="21"/>
          <w:highlight w:val="none"/>
        </w:rPr>
      </w:pPr>
      <w:r>
        <w:rPr>
          <w:rFonts w:hint="eastAsia" w:ascii="宋体" w:hAnsi="宋体" w:cs="仿宋"/>
          <w:color w:val="auto"/>
          <w:sz w:val="21"/>
          <w:szCs w:val="21"/>
          <w:highlight w:val="none"/>
        </w:rPr>
        <w:t>5.1乙方保证甲方在接受乙方提供的软件维护与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23AF8AB6">
      <w:pPr>
        <w:pStyle w:val="23"/>
        <w:tabs>
          <w:tab w:val="left" w:pos="1060"/>
        </w:tabs>
        <w:autoSpaceDE w:val="0"/>
        <w:autoSpaceDN w:val="0"/>
        <w:spacing w:line="360" w:lineRule="auto"/>
        <w:ind w:firstLine="480"/>
        <w:jc w:val="left"/>
        <w:rPr>
          <w:rFonts w:ascii="宋体" w:hAnsi="宋体" w:cs="仿宋"/>
          <w:color w:val="auto"/>
          <w:sz w:val="21"/>
          <w:szCs w:val="21"/>
          <w:highlight w:val="none"/>
        </w:rPr>
      </w:pPr>
      <w:r>
        <w:rPr>
          <w:rFonts w:hint="eastAsia" w:ascii="宋体" w:hAnsi="宋体" w:cs="仿宋"/>
          <w:color w:val="auto"/>
          <w:sz w:val="21"/>
          <w:szCs w:val="21"/>
          <w:highlight w:val="none"/>
        </w:rPr>
        <w:t>5.2乙方郑重承诺：在为本项目提供技术服务过程中，需使用任何第三方拥有所有权、专利权、著作权、商标权或商业秘密等权利的产品或者服务时，须书面告知甲方，在征得甲方的书面同意后，方可执行。</w:t>
      </w:r>
    </w:p>
    <w:p w14:paraId="75D162F1">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6.保密条款</w:t>
      </w:r>
    </w:p>
    <w:p w14:paraId="77D1317C">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6.1甲乙双方应对在本合同签订或履行过程中所接触的对方信息，包括但不限于知识产权、技术资料、技术诀窍、内部管理及其他相关信息，负有保密义务。</w:t>
      </w:r>
    </w:p>
    <w:p w14:paraId="371FBBC5">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6.2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3E768E18">
      <w:pPr>
        <w:pStyle w:val="9"/>
        <w:spacing w:line="360" w:lineRule="auto"/>
        <w:ind w:firstLine="315" w:firstLineChars="150"/>
        <w:rPr>
          <w:rFonts w:hAnsi="宋体" w:eastAsia="宋体" w:cs="仿宋"/>
          <w:color w:val="auto"/>
          <w:sz w:val="21"/>
          <w:szCs w:val="21"/>
          <w:highlight w:val="none"/>
        </w:rPr>
      </w:pPr>
      <w:r>
        <w:rPr>
          <w:rFonts w:hint="eastAsia" w:hAnsi="宋体" w:eastAsia="宋体" w:cs="仿宋"/>
          <w:color w:val="auto"/>
          <w:sz w:val="21"/>
          <w:szCs w:val="21"/>
          <w:highlight w:val="none"/>
        </w:rPr>
        <w:t>（1）应以审慎态度避免泄露、公开或传播甲方的信息；</w:t>
      </w:r>
    </w:p>
    <w:p w14:paraId="078F02CD">
      <w:pPr>
        <w:pStyle w:val="9"/>
        <w:spacing w:line="360" w:lineRule="auto"/>
        <w:ind w:firstLine="315" w:firstLineChars="150"/>
        <w:rPr>
          <w:rFonts w:hAnsi="宋体" w:eastAsia="宋体" w:cs="仿宋"/>
          <w:color w:val="auto"/>
          <w:sz w:val="21"/>
          <w:szCs w:val="21"/>
          <w:highlight w:val="none"/>
        </w:rPr>
      </w:pPr>
      <w:r>
        <w:rPr>
          <w:rFonts w:hint="eastAsia" w:hAnsi="宋体" w:eastAsia="宋体" w:cs="仿宋"/>
          <w:color w:val="auto"/>
          <w:sz w:val="21"/>
          <w:szCs w:val="21"/>
          <w:highlight w:val="none"/>
        </w:rPr>
        <w:t>（2）未经甲方书面许可，不得对有关信息进行修改、补充、复制；</w:t>
      </w:r>
    </w:p>
    <w:p w14:paraId="28F430AA">
      <w:pPr>
        <w:pStyle w:val="9"/>
        <w:spacing w:line="360" w:lineRule="auto"/>
        <w:ind w:firstLine="315" w:firstLineChars="150"/>
        <w:rPr>
          <w:rFonts w:hAnsi="宋体" w:eastAsia="宋体" w:cs="仿宋"/>
          <w:color w:val="auto"/>
          <w:sz w:val="21"/>
          <w:szCs w:val="21"/>
          <w:highlight w:val="none"/>
        </w:rPr>
      </w:pPr>
      <w:r>
        <w:rPr>
          <w:rFonts w:hint="eastAsia" w:hAnsi="宋体" w:eastAsia="宋体" w:cs="仿宋"/>
          <w:color w:val="auto"/>
          <w:sz w:val="21"/>
          <w:szCs w:val="21"/>
          <w:highlight w:val="none"/>
        </w:rPr>
        <w:t>（3）未经甲方书面许可，不得将信息以任何方式(如E－mail)携带出甲方场所；</w:t>
      </w:r>
    </w:p>
    <w:p w14:paraId="68FD8F9D">
      <w:pPr>
        <w:pStyle w:val="9"/>
        <w:spacing w:line="360" w:lineRule="auto"/>
        <w:ind w:firstLine="315" w:firstLineChars="150"/>
        <w:rPr>
          <w:rFonts w:hAnsi="宋体" w:eastAsia="宋体" w:cs="仿宋"/>
          <w:color w:val="auto"/>
          <w:sz w:val="21"/>
          <w:szCs w:val="21"/>
          <w:highlight w:val="none"/>
        </w:rPr>
      </w:pPr>
      <w:r>
        <w:rPr>
          <w:rFonts w:hint="eastAsia" w:hAnsi="宋体" w:eastAsia="宋体" w:cs="仿宋"/>
          <w:color w:val="auto"/>
          <w:sz w:val="21"/>
          <w:szCs w:val="21"/>
          <w:highlight w:val="none"/>
        </w:rPr>
        <w:t>（4）未经甲方书面许可，不得将信息透露给任何其他</w:t>
      </w:r>
      <w:bookmarkStart w:id="3" w:name="_GoBack"/>
      <w:bookmarkEnd w:id="3"/>
      <w:r>
        <w:rPr>
          <w:rFonts w:hint="eastAsia" w:hAnsi="宋体" w:eastAsia="宋体" w:cs="仿宋"/>
          <w:color w:val="auto"/>
          <w:sz w:val="21"/>
          <w:szCs w:val="21"/>
          <w:highlight w:val="none"/>
        </w:rPr>
        <w:t>人；</w:t>
      </w:r>
    </w:p>
    <w:p w14:paraId="7FF9C3C0">
      <w:pPr>
        <w:pStyle w:val="9"/>
        <w:spacing w:line="360" w:lineRule="auto"/>
        <w:ind w:firstLine="315" w:firstLineChars="150"/>
        <w:rPr>
          <w:rFonts w:hAnsi="宋体" w:eastAsia="宋体" w:cs="仿宋"/>
          <w:color w:val="auto"/>
          <w:sz w:val="21"/>
          <w:szCs w:val="21"/>
          <w:highlight w:val="none"/>
        </w:rPr>
      </w:pPr>
      <w:r>
        <w:rPr>
          <w:rFonts w:hint="eastAsia" w:hAnsi="宋体" w:eastAsia="宋体" w:cs="仿宋"/>
          <w:color w:val="auto"/>
          <w:sz w:val="21"/>
          <w:szCs w:val="21"/>
          <w:highlight w:val="none"/>
        </w:rPr>
        <w:t>（5）甲方以书面形式提出的其他保密措施。</w:t>
      </w:r>
    </w:p>
    <w:p w14:paraId="051B0F72">
      <w:pPr>
        <w:pStyle w:val="23"/>
        <w:tabs>
          <w:tab w:val="left" w:pos="391"/>
          <w:tab w:val="left" w:pos="1060"/>
        </w:tabs>
        <w:autoSpaceDE w:val="0"/>
        <w:autoSpaceDN w:val="0"/>
        <w:spacing w:line="360" w:lineRule="auto"/>
        <w:ind w:firstLine="480"/>
        <w:jc w:val="left"/>
        <w:rPr>
          <w:rFonts w:ascii="宋体" w:hAnsi="宋体" w:cs="仿宋"/>
          <w:color w:val="auto"/>
          <w:sz w:val="21"/>
          <w:szCs w:val="21"/>
          <w:highlight w:val="none"/>
        </w:rPr>
      </w:pPr>
      <w:r>
        <w:rPr>
          <w:rFonts w:hint="eastAsia" w:ascii="宋体" w:hAnsi="宋体" w:cs="仿宋"/>
          <w:color w:val="auto"/>
          <w:sz w:val="21"/>
          <w:szCs w:val="21"/>
          <w:highlight w:val="none"/>
        </w:rPr>
        <w:t>6.3保密范围</w:t>
      </w:r>
    </w:p>
    <w:p w14:paraId="12EDFE32">
      <w:pPr>
        <w:pStyle w:val="23"/>
        <w:tabs>
          <w:tab w:val="left" w:pos="1243"/>
        </w:tabs>
        <w:autoSpaceDE w:val="0"/>
        <w:autoSpaceDN w:val="0"/>
        <w:spacing w:line="360" w:lineRule="auto"/>
        <w:ind w:firstLine="315" w:firstLineChars="150"/>
        <w:jc w:val="left"/>
        <w:rPr>
          <w:rFonts w:ascii="宋体" w:hAnsi="宋体" w:cs="仿宋"/>
          <w:color w:val="auto"/>
          <w:sz w:val="21"/>
          <w:szCs w:val="21"/>
          <w:highlight w:val="none"/>
        </w:rPr>
      </w:pPr>
      <w:r>
        <w:rPr>
          <w:rFonts w:hint="eastAsia" w:ascii="宋体" w:hAnsi="宋体" w:cs="仿宋"/>
          <w:color w:val="auto"/>
          <w:sz w:val="21"/>
          <w:szCs w:val="21"/>
          <w:highlight w:val="none"/>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14:paraId="7DCADD2A">
      <w:pPr>
        <w:pStyle w:val="23"/>
        <w:tabs>
          <w:tab w:val="left" w:pos="1243"/>
        </w:tabs>
        <w:autoSpaceDE w:val="0"/>
        <w:autoSpaceDN w:val="0"/>
        <w:spacing w:line="360" w:lineRule="auto"/>
        <w:ind w:firstLine="315" w:firstLineChars="150"/>
        <w:jc w:val="left"/>
        <w:rPr>
          <w:rFonts w:ascii="宋体" w:hAnsi="宋体" w:cs="仿宋"/>
          <w:color w:val="auto"/>
          <w:sz w:val="21"/>
          <w:szCs w:val="21"/>
          <w:highlight w:val="none"/>
        </w:rPr>
      </w:pPr>
      <w:r>
        <w:rPr>
          <w:rFonts w:hint="eastAsia" w:ascii="宋体" w:hAnsi="宋体" w:cs="仿宋"/>
          <w:color w:val="auto"/>
          <w:sz w:val="21"/>
          <w:szCs w:val="21"/>
          <w:highlight w:val="none"/>
        </w:rPr>
        <w:t>（2）乙方在履行合同过程中所获得或接触到的来源于甲方的其他数据资料，未经甲方书面同意，不得向本合同以外的第三方透露。</w:t>
      </w:r>
    </w:p>
    <w:p w14:paraId="5136A18B">
      <w:pPr>
        <w:pStyle w:val="23"/>
        <w:tabs>
          <w:tab w:val="left" w:pos="1243"/>
        </w:tabs>
        <w:autoSpaceDE w:val="0"/>
        <w:autoSpaceDN w:val="0"/>
        <w:spacing w:line="360" w:lineRule="auto"/>
        <w:ind w:firstLine="315" w:firstLineChars="150"/>
        <w:jc w:val="left"/>
        <w:rPr>
          <w:rFonts w:ascii="宋体" w:hAnsi="宋体" w:cs="仿宋"/>
          <w:color w:val="auto"/>
          <w:sz w:val="21"/>
          <w:szCs w:val="21"/>
          <w:highlight w:val="none"/>
        </w:rPr>
      </w:pPr>
      <w:r>
        <w:rPr>
          <w:rFonts w:hint="eastAsia" w:ascii="宋体" w:hAnsi="宋体" w:cs="仿宋"/>
          <w:color w:val="auto"/>
          <w:sz w:val="21"/>
          <w:szCs w:val="21"/>
          <w:highlight w:val="none"/>
        </w:rPr>
        <w:t>（3）乙方在未征得甲方书面同意的情况下，不得为任何其它目的而自行使用或允许他人使用从甲方获得的信息（包括但不限于所有的报告、摘录、纪要、文件、计划、报表、复印件和业务数据等）。</w:t>
      </w:r>
    </w:p>
    <w:p w14:paraId="288562C6">
      <w:pPr>
        <w:pStyle w:val="23"/>
        <w:tabs>
          <w:tab w:val="left" w:pos="1243"/>
        </w:tabs>
        <w:autoSpaceDE w:val="0"/>
        <w:autoSpaceDN w:val="0"/>
        <w:spacing w:line="360" w:lineRule="auto"/>
        <w:ind w:firstLine="315" w:firstLineChars="150"/>
        <w:jc w:val="left"/>
        <w:rPr>
          <w:rFonts w:ascii="宋体" w:hAnsi="宋体" w:cs="仿宋"/>
          <w:color w:val="auto"/>
          <w:sz w:val="21"/>
          <w:szCs w:val="21"/>
          <w:highlight w:val="none"/>
        </w:rPr>
      </w:pPr>
      <w:r>
        <w:rPr>
          <w:rFonts w:hint="eastAsia" w:ascii="宋体" w:hAnsi="宋体" w:cs="仿宋"/>
          <w:color w:val="auto"/>
          <w:sz w:val="21"/>
          <w:szCs w:val="21"/>
          <w:highlight w:val="none"/>
        </w:rPr>
        <w:t>（4）乙方需与参加本项目的人员签订保密协议，并禁止接触保密信息的人员将本项目的任何资料传播给项目外人员。</w:t>
      </w:r>
    </w:p>
    <w:p w14:paraId="05B2CDD0">
      <w:pPr>
        <w:pStyle w:val="23"/>
        <w:tabs>
          <w:tab w:val="left" w:pos="1243"/>
        </w:tabs>
        <w:autoSpaceDE w:val="0"/>
        <w:autoSpaceDN w:val="0"/>
        <w:spacing w:line="360" w:lineRule="auto"/>
        <w:ind w:firstLine="315" w:firstLineChars="150"/>
        <w:jc w:val="left"/>
        <w:rPr>
          <w:rFonts w:ascii="宋体" w:hAnsi="宋体" w:cs="仿宋"/>
          <w:color w:val="auto"/>
          <w:sz w:val="21"/>
          <w:szCs w:val="21"/>
          <w:highlight w:val="none"/>
        </w:rPr>
      </w:pPr>
      <w:r>
        <w:rPr>
          <w:rFonts w:hint="eastAsia" w:ascii="宋体" w:hAnsi="宋体" w:cs="仿宋"/>
          <w:color w:val="auto"/>
          <w:sz w:val="21"/>
          <w:szCs w:val="21"/>
          <w:highlight w:val="none"/>
        </w:rPr>
        <w:t>（5）如果乙方违反本条款的规定，甲方有权解除本合同并要求乙方赔偿甲方因此遭受的损失，该赔偿的金额不低于合同总额的10%。触犯保密法律法规的情况由乙方独自承担相应法律责任。</w:t>
      </w:r>
    </w:p>
    <w:p w14:paraId="25494F8F">
      <w:pPr>
        <w:pStyle w:val="23"/>
        <w:tabs>
          <w:tab w:val="left" w:pos="1240"/>
        </w:tabs>
        <w:autoSpaceDE w:val="0"/>
        <w:autoSpaceDN w:val="0"/>
        <w:spacing w:line="360" w:lineRule="auto"/>
        <w:ind w:firstLine="315" w:firstLineChars="150"/>
        <w:jc w:val="left"/>
        <w:rPr>
          <w:rFonts w:ascii="宋体" w:hAnsi="宋体" w:cs="仿宋"/>
          <w:color w:val="auto"/>
          <w:sz w:val="21"/>
          <w:szCs w:val="21"/>
          <w:highlight w:val="none"/>
        </w:rPr>
      </w:pPr>
      <w:r>
        <w:rPr>
          <w:rFonts w:hint="eastAsia" w:ascii="宋体" w:hAnsi="宋体" w:cs="仿宋"/>
          <w:color w:val="auto"/>
          <w:sz w:val="21"/>
          <w:szCs w:val="21"/>
          <w:highlight w:val="none"/>
        </w:rPr>
        <w:t>（6）乙方认为的乙方商业秘密需要乙方事先向甲方书面声明。</w:t>
      </w:r>
    </w:p>
    <w:p w14:paraId="2318DDC0">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6.4保密期限不受合同有效期的限制，在合同有效期结束后，信息接受方仍应承担保密义务，直至该信息成为公开信息。</w:t>
      </w:r>
    </w:p>
    <w:p w14:paraId="76FA2DBA">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6.5甲乙双方如出现泄密行为，泄密方应承担相关的法律责任，包括但不限于对由此给对方造成的经济损失进行赔偿。</w:t>
      </w:r>
    </w:p>
    <w:p w14:paraId="186A6A8E">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6.6本保密条款不因本合同履行完毕或提前终止而失效，合同终止或解除等不影响本保密条款的效力。</w:t>
      </w:r>
    </w:p>
    <w:p w14:paraId="06C6B040">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7.服务时间、地点与验收</w:t>
      </w:r>
    </w:p>
    <w:p w14:paraId="1B13663B">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7.1服务地点：</w:t>
      </w:r>
      <w:r>
        <w:rPr>
          <w:rFonts w:hint="eastAsia" w:hAnsi="宋体" w:eastAsia="宋体"/>
          <w:color w:val="auto"/>
          <w:kern w:val="24"/>
          <w:sz w:val="21"/>
          <w:szCs w:val="21"/>
          <w:highlight w:val="none"/>
          <w:lang w:val="en-US" w:eastAsia="zh-CN"/>
        </w:rPr>
        <w:t>甲方指定地点</w:t>
      </w:r>
      <w:r>
        <w:rPr>
          <w:rFonts w:hint="eastAsia" w:hAnsi="宋体" w:eastAsia="宋体"/>
          <w:color w:val="auto"/>
          <w:kern w:val="24"/>
          <w:sz w:val="21"/>
          <w:szCs w:val="21"/>
          <w:highlight w:val="none"/>
        </w:rPr>
        <w:t>。</w:t>
      </w:r>
    </w:p>
    <w:p w14:paraId="3B3945D9">
      <w:pPr>
        <w:pStyle w:val="9"/>
        <w:tabs>
          <w:tab w:val="left" w:pos="456"/>
        </w:tabs>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7.2服务期：合同签订之日起一年内。</w:t>
      </w:r>
    </w:p>
    <w:p w14:paraId="74056A0E">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7.3甲方应在乙方完成相关服务工作后及时对服务质量、技术指标、服务成果进行验收。</w:t>
      </w:r>
    </w:p>
    <w:p w14:paraId="7C702596">
      <w:pPr>
        <w:adjustRightInd w:val="0"/>
        <w:spacing w:line="360" w:lineRule="auto"/>
        <w:jc w:val="left"/>
        <w:rPr>
          <w:rFonts w:ascii="宋体" w:hAnsi="宋体" w:cs="仿宋"/>
          <w:b/>
          <w:color w:val="auto"/>
          <w:sz w:val="21"/>
          <w:szCs w:val="21"/>
          <w:highlight w:val="none"/>
        </w:rPr>
      </w:pPr>
      <w:r>
        <w:rPr>
          <w:rFonts w:hint="eastAsia" w:ascii="宋体" w:hAnsi="宋体" w:cs="仿宋"/>
          <w:b/>
          <w:color w:val="auto"/>
          <w:sz w:val="21"/>
          <w:szCs w:val="21"/>
          <w:highlight w:val="none"/>
        </w:rPr>
        <w:t>8.双方权利和义务</w:t>
      </w:r>
    </w:p>
    <w:p w14:paraId="2B06A88B">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8.1甲方权利和义务</w:t>
      </w:r>
    </w:p>
    <w:p w14:paraId="21DBE00D">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（1）甲方在与乙方签订《西安市医疗保障局202</w:t>
      </w:r>
      <w:r>
        <w:rPr>
          <w:rFonts w:hint="eastAsia" w:hAnsi="宋体" w:eastAsia="宋体" w:cs="仿宋"/>
          <w:color w:val="auto"/>
          <w:sz w:val="21"/>
          <w:szCs w:val="21"/>
          <w:highlight w:val="none"/>
          <w:lang w:val="en-US" w:eastAsia="zh-CN"/>
        </w:rPr>
        <w:t>5</w:t>
      </w:r>
      <w:r>
        <w:rPr>
          <w:rFonts w:hint="eastAsia" w:hAnsi="宋体" w:eastAsia="宋体" w:cs="仿宋"/>
          <w:color w:val="auto"/>
          <w:sz w:val="21"/>
          <w:szCs w:val="21"/>
          <w:highlight w:val="none"/>
        </w:rPr>
        <w:t>年度第三方参与“医疗保障基金常态化监管工作”合同》及《保密协议》后，将相关资料移交给乙方，负责召集重大事项的研究、协调。</w:t>
      </w:r>
    </w:p>
    <w:p w14:paraId="61AD1522">
      <w:pPr>
        <w:pStyle w:val="9"/>
        <w:spacing w:line="360" w:lineRule="auto"/>
        <w:ind w:firstLine="420" w:firstLineChars="200"/>
        <w:rPr>
          <w:rFonts w:hint="eastAsia" w:hAnsi="宋体" w:eastAsia="宋体" w:cs="仿宋"/>
          <w:color w:val="auto"/>
          <w:sz w:val="21"/>
          <w:szCs w:val="21"/>
          <w:highlight w:val="none"/>
          <w:lang w:eastAsia="zh-CN"/>
        </w:rPr>
      </w:pPr>
      <w:r>
        <w:rPr>
          <w:rFonts w:hint="eastAsia" w:hAnsi="宋体" w:eastAsia="宋体" w:cs="仿宋"/>
          <w:color w:val="auto"/>
          <w:sz w:val="21"/>
          <w:szCs w:val="21"/>
          <w:highlight w:val="none"/>
        </w:rPr>
        <w:t>（2）甲方负责对乙方的工作质量、工作进度、履约等情况进行监督管理及绩效考核。</w:t>
      </w:r>
    </w:p>
    <w:p w14:paraId="2A69DA6F">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（3）甲方应当为乙方提供必要的工作条件和与大数据分析服务事项相关的资料。</w:t>
      </w:r>
    </w:p>
    <w:p w14:paraId="11E0FF45">
      <w:pPr>
        <w:pStyle w:val="9"/>
        <w:spacing w:line="360" w:lineRule="auto"/>
        <w:ind w:firstLine="420" w:firstLineChars="200"/>
        <w:rPr>
          <w:rFonts w:hint="eastAsia" w:hAnsi="宋体" w:eastAsia="宋体" w:cs="仿宋"/>
          <w:color w:val="auto"/>
          <w:sz w:val="21"/>
          <w:szCs w:val="21"/>
          <w:highlight w:val="none"/>
        </w:rPr>
      </w:pPr>
      <w:r>
        <w:rPr>
          <w:rFonts w:hint="eastAsia" w:hAnsi="宋体" w:eastAsia="宋体" w:cs="仿宋"/>
          <w:color w:val="auto"/>
          <w:sz w:val="21"/>
          <w:szCs w:val="21"/>
          <w:highlight w:val="none"/>
        </w:rPr>
        <w:t>（</w:t>
      </w:r>
      <w:r>
        <w:rPr>
          <w:rFonts w:hint="eastAsia" w:hAnsi="宋体" w:eastAsia="宋体" w:cs="仿宋"/>
          <w:color w:val="auto"/>
          <w:sz w:val="21"/>
          <w:szCs w:val="21"/>
          <w:highlight w:val="none"/>
          <w:lang w:val="en-US" w:eastAsia="zh-CN"/>
        </w:rPr>
        <w:t>4</w:t>
      </w:r>
      <w:r>
        <w:rPr>
          <w:rFonts w:hint="eastAsia" w:hAnsi="宋体" w:eastAsia="宋体" w:cs="仿宋"/>
          <w:color w:val="auto"/>
          <w:sz w:val="21"/>
          <w:szCs w:val="21"/>
          <w:highlight w:val="none"/>
        </w:rPr>
        <w:t>）甲方应当在乙方提交书面数据分析报告后60个工作日内，组织人员开展现场核查并进行最终结果认定。</w:t>
      </w:r>
    </w:p>
    <w:p w14:paraId="179A73E2">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8.2乙方的权利和乙方义务：</w:t>
      </w:r>
    </w:p>
    <w:p w14:paraId="32C6E266">
      <w:pPr>
        <w:pStyle w:val="9"/>
        <w:numPr>
          <w:ilvl w:val="0"/>
          <w:numId w:val="1"/>
        </w:numPr>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乙方应在双方签订《西安市医疗保障局202</w:t>
      </w:r>
      <w:r>
        <w:rPr>
          <w:rFonts w:hint="eastAsia" w:hAnsi="宋体" w:eastAsia="宋体" w:cs="仿宋"/>
          <w:color w:val="auto"/>
          <w:sz w:val="21"/>
          <w:szCs w:val="21"/>
          <w:highlight w:val="none"/>
          <w:lang w:val="en-US" w:eastAsia="zh-CN"/>
        </w:rPr>
        <w:t>5</w:t>
      </w:r>
      <w:r>
        <w:rPr>
          <w:rFonts w:hint="eastAsia" w:hAnsi="宋体" w:eastAsia="宋体" w:cs="仿宋"/>
          <w:color w:val="auto"/>
          <w:sz w:val="21"/>
          <w:szCs w:val="21"/>
          <w:highlight w:val="none"/>
        </w:rPr>
        <w:t>年度第三方参与“医疗保障基金常态化监管工作”合同》及《保密协议》后进行资料交接，人员安排上给予及时保障。</w:t>
      </w:r>
    </w:p>
    <w:p w14:paraId="42CDDABD">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（2）乙方不得将甲方委托的业务转包或分包给其他单位或个人，否则，甲方有权解除合同。</w:t>
      </w:r>
    </w:p>
    <w:p w14:paraId="0C79DDDC">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（3）因不可抗力原因导致项目中止的，乙方应继续协助甲方完成项目的后续工作。</w:t>
      </w:r>
    </w:p>
    <w:p w14:paraId="6DD30E83">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（4）乙方应及时完成约定的项目任务，并将全部资料和报告递交给甲方。</w:t>
      </w:r>
    </w:p>
    <w:p w14:paraId="7663BD0A">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9.违约责任</w:t>
      </w:r>
    </w:p>
    <w:p w14:paraId="5E0E77AB">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9.1乙方未能如期开展项目或迟延完成本合同约定事项的，每日向甲方支付合同款项的千分之六作为违约金。乙方超过约定日期10个工作日仍不能开展的或迟延1</w:t>
      </w:r>
      <w:r>
        <w:rPr>
          <w:rFonts w:hAnsi="宋体" w:eastAsia="宋体" w:cs="仿宋"/>
          <w:color w:val="auto"/>
          <w:sz w:val="21"/>
          <w:szCs w:val="21"/>
          <w:highlight w:val="none"/>
        </w:rPr>
        <w:t>0</w:t>
      </w:r>
      <w:r>
        <w:rPr>
          <w:rFonts w:hint="eastAsia" w:hAnsi="宋体" w:eastAsia="宋体" w:cs="仿宋"/>
          <w:color w:val="auto"/>
          <w:sz w:val="21"/>
          <w:szCs w:val="21"/>
          <w:highlight w:val="none"/>
        </w:rPr>
        <w:t>日无法完成本合同约定事项的，甲方有权解除本合同。</w:t>
      </w:r>
    </w:p>
    <w:p w14:paraId="6A0B160E">
      <w:pPr>
        <w:pStyle w:val="9"/>
        <w:spacing w:line="360" w:lineRule="auto"/>
        <w:ind w:firstLine="420" w:firstLineChars="200"/>
        <w:rPr>
          <w:rFonts w:hAnsi="宋体" w:eastAsia="宋体" w:cs="仿宋"/>
          <w:color w:val="auto"/>
          <w:sz w:val="21"/>
          <w:szCs w:val="21"/>
          <w:highlight w:val="none"/>
        </w:rPr>
      </w:pPr>
      <w:r>
        <w:rPr>
          <w:rFonts w:hAnsi="宋体" w:eastAsia="宋体" w:cs="仿宋"/>
          <w:color w:val="auto"/>
          <w:sz w:val="21"/>
          <w:szCs w:val="21"/>
          <w:highlight w:val="none"/>
        </w:rPr>
        <w:t>9.2</w:t>
      </w:r>
      <w:r>
        <w:rPr>
          <w:rFonts w:hint="eastAsia" w:hAnsi="宋体" w:eastAsia="宋体" w:cs="仿宋"/>
          <w:color w:val="auto"/>
          <w:sz w:val="21"/>
          <w:szCs w:val="21"/>
          <w:highlight w:val="none"/>
        </w:rPr>
        <w:t>乙方派出的驻场人员不能满足甲方要求的，乙方应自甲方发出通知后</w:t>
      </w:r>
      <w:r>
        <w:rPr>
          <w:rFonts w:hint="eastAsia" w:hAnsi="宋体" w:eastAsia="宋体" w:cs="仿宋"/>
          <w:color w:val="auto"/>
          <w:sz w:val="21"/>
          <w:szCs w:val="21"/>
          <w:highlight w:val="none"/>
          <w:u w:val="single"/>
          <w:lang w:val="en-US" w:eastAsia="zh-CN"/>
        </w:rPr>
        <w:t>15</w:t>
      </w:r>
      <w:r>
        <w:rPr>
          <w:rFonts w:hint="eastAsia" w:hAnsi="宋体" w:eastAsia="宋体" w:cs="仿宋"/>
          <w:color w:val="auto"/>
          <w:sz w:val="21"/>
          <w:szCs w:val="21"/>
          <w:highlight w:val="none"/>
        </w:rPr>
        <w:t>日内更换至合格，否则甲方有权解除本合同。</w:t>
      </w:r>
    </w:p>
    <w:p w14:paraId="510037A4">
      <w:pPr>
        <w:pStyle w:val="9"/>
        <w:spacing w:line="360" w:lineRule="auto"/>
        <w:ind w:firstLine="420" w:firstLineChars="200"/>
        <w:rPr>
          <w:rFonts w:hAnsi="宋体" w:eastAsia="宋体" w:cs="仿宋"/>
          <w:color w:val="auto"/>
          <w:sz w:val="21"/>
          <w:szCs w:val="21"/>
          <w:highlight w:val="none"/>
        </w:rPr>
      </w:pPr>
      <w:r>
        <w:rPr>
          <w:rFonts w:hAnsi="宋体" w:eastAsia="宋体" w:cs="仿宋"/>
          <w:color w:val="auto"/>
          <w:sz w:val="21"/>
          <w:szCs w:val="21"/>
          <w:highlight w:val="none"/>
        </w:rPr>
        <w:t>9.3</w:t>
      </w:r>
      <w:r>
        <w:rPr>
          <w:rFonts w:hint="eastAsia" w:hAnsi="宋体" w:eastAsia="宋体" w:cs="仿宋"/>
          <w:color w:val="auto"/>
          <w:sz w:val="21"/>
          <w:szCs w:val="21"/>
          <w:highlight w:val="none"/>
        </w:rPr>
        <w:t>乙方有违约行为累计3次或3次以上，或者任一违约行为经甲方告知后1</w:t>
      </w:r>
      <w:r>
        <w:rPr>
          <w:rFonts w:hAnsi="宋体" w:eastAsia="宋体" w:cs="仿宋"/>
          <w:color w:val="auto"/>
          <w:sz w:val="21"/>
          <w:szCs w:val="21"/>
          <w:highlight w:val="none"/>
        </w:rPr>
        <w:t>0</w:t>
      </w:r>
      <w:r>
        <w:rPr>
          <w:rFonts w:hint="eastAsia" w:hAnsi="宋体" w:eastAsia="宋体" w:cs="仿宋"/>
          <w:color w:val="auto"/>
          <w:sz w:val="21"/>
          <w:szCs w:val="21"/>
          <w:highlight w:val="none"/>
        </w:rPr>
        <w:t>日内未能改正的，甲方有权解除本合同。</w:t>
      </w:r>
    </w:p>
    <w:p w14:paraId="7668107D">
      <w:pPr>
        <w:pStyle w:val="9"/>
        <w:spacing w:line="360" w:lineRule="auto"/>
        <w:ind w:firstLine="420" w:firstLineChars="200"/>
        <w:rPr>
          <w:rFonts w:hAnsi="宋体" w:eastAsia="宋体" w:cs="仿宋"/>
          <w:color w:val="auto"/>
          <w:sz w:val="21"/>
          <w:szCs w:val="21"/>
          <w:highlight w:val="none"/>
        </w:rPr>
      </w:pPr>
      <w:r>
        <w:rPr>
          <w:rFonts w:hAnsi="宋体" w:eastAsia="宋体" w:cs="仿宋"/>
          <w:color w:val="auto"/>
          <w:sz w:val="21"/>
          <w:szCs w:val="21"/>
          <w:highlight w:val="none"/>
        </w:rPr>
        <w:t>9.4</w:t>
      </w:r>
      <w:r>
        <w:rPr>
          <w:rFonts w:hint="eastAsia" w:hAnsi="宋体" w:eastAsia="宋体" w:cs="仿宋"/>
          <w:color w:val="auto"/>
          <w:sz w:val="21"/>
          <w:szCs w:val="21"/>
          <w:highlight w:val="none"/>
        </w:rPr>
        <w:t>乙方因未能如期开展项目工作或因其他违约行为导致甲方解除合同的，除承担相应违约金、退还已就本合同收取甲方的款项外还需额外向甲方支付合同总值5%的违约金，如造成甲方损失超过违约金的，超出部分由乙方继续承担赔偿责任。</w:t>
      </w:r>
    </w:p>
    <w:p w14:paraId="5C919D5D">
      <w:pPr>
        <w:pStyle w:val="9"/>
        <w:tabs>
          <w:tab w:val="left" w:pos="398"/>
        </w:tabs>
        <w:spacing w:line="360" w:lineRule="auto"/>
        <w:ind w:firstLine="420" w:firstLineChars="200"/>
        <w:rPr>
          <w:rFonts w:hAnsi="宋体" w:eastAsia="宋体"/>
          <w:color w:val="auto"/>
          <w:sz w:val="21"/>
          <w:szCs w:val="21"/>
          <w:highlight w:val="none"/>
        </w:rPr>
      </w:pPr>
      <w:r>
        <w:rPr>
          <w:rFonts w:hint="eastAsia" w:hAnsi="宋体" w:eastAsia="宋体" w:cs="仿宋"/>
          <w:color w:val="auto"/>
          <w:sz w:val="21"/>
          <w:szCs w:val="21"/>
          <w:highlight w:val="none"/>
        </w:rPr>
        <w:t>9.</w:t>
      </w:r>
      <w:r>
        <w:rPr>
          <w:rFonts w:hAnsi="宋体" w:eastAsia="宋体" w:cs="仿宋"/>
          <w:color w:val="auto"/>
          <w:sz w:val="21"/>
          <w:szCs w:val="21"/>
          <w:highlight w:val="none"/>
        </w:rPr>
        <w:t>5</w:t>
      </w:r>
      <w:r>
        <w:rPr>
          <w:rFonts w:hint="eastAsia" w:hAnsi="宋体" w:eastAsia="宋体" w:cs="仿宋"/>
          <w:color w:val="auto"/>
          <w:sz w:val="21"/>
          <w:szCs w:val="21"/>
          <w:highlight w:val="none"/>
        </w:rPr>
        <w:t>乙方未能完成项目约定要求，乙方将被甲方列入合作黑名单，三年内不得参与甲方的业务。</w:t>
      </w:r>
    </w:p>
    <w:p w14:paraId="5920D643">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10.不可抗力</w:t>
      </w:r>
    </w:p>
    <w:p w14:paraId="783F3A9C">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10.1如果合同双方因不可抗力而导致合同实施延误或合同无法实施，不应该承担误期赔偿或不能履行合同义务的责任。</w:t>
      </w:r>
    </w:p>
    <w:p w14:paraId="6B535529">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10.2本条所述的“不可抗力”系指那些双方不可预见、不可避免、不可克服的客观情况，但不包括双方的违约或疏忽。这些事件包括但不限于：战争、严重火灾、洪水、台风、地震等。</w:t>
      </w:r>
    </w:p>
    <w:p w14:paraId="7E2F772C">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10.3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4C92DDB">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11.合同纠纷的解决方式</w:t>
      </w:r>
    </w:p>
    <w:p w14:paraId="3ACEC70D">
      <w:pPr>
        <w:pStyle w:val="9"/>
        <w:spacing w:line="360" w:lineRule="auto"/>
        <w:ind w:firstLine="420" w:firstLineChars="200"/>
        <w:rPr>
          <w:rFonts w:hint="eastAsia" w:hAnsi="宋体" w:eastAsia="宋体" w:cs="仿宋"/>
          <w:color w:val="auto"/>
          <w:sz w:val="21"/>
          <w:szCs w:val="21"/>
          <w:highlight w:val="none"/>
        </w:rPr>
      </w:pPr>
      <w:r>
        <w:rPr>
          <w:rFonts w:hint="eastAsia" w:hAnsi="宋体" w:eastAsia="宋体" w:cs="仿宋"/>
          <w:color w:val="auto"/>
          <w:sz w:val="21"/>
          <w:szCs w:val="21"/>
          <w:highlight w:val="none"/>
        </w:rPr>
        <w:t>11.1合同各方应通过友好协商，解决在执行合同过程中所发生的或与合同有关的一切争端。如协商30日内不能解决，可以向采购人所在地提起诉讼。</w:t>
      </w:r>
    </w:p>
    <w:p w14:paraId="252E5B9F">
      <w:pPr>
        <w:pStyle w:val="9"/>
        <w:spacing w:line="360" w:lineRule="auto"/>
        <w:ind w:firstLine="420" w:firstLineChars="200"/>
        <w:rPr>
          <w:rFonts w:hint="eastAsia" w:hAnsi="宋体" w:eastAsia="宋体" w:cs="仿宋"/>
          <w:color w:val="auto"/>
          <w:sz w:val="21"/>
          <w:szCs w:val="21"/>
          <w:highlight w:val="none"/>
        </w:rPr>
      </w:pPr>
      <w:r>
        <w:rPr>
          <w:rFonts w:hint="eastAsia" w:hAnsi="宋体" w:eastAsia="宋体" w:cs="仿宋"/>
          <w:color w:val="auto"/>
          <w:sz w:val="21"/>
          <w:szCs w:val="21"/>
          <w:highlight w:val="none"/>
        </w:rPr>
        <w:t>11.2诉讼应由甲方住所地人民法院管辖。财产保全担保保险费、财产保全申请费、律师代理费、差旅费、评估费、鉴定费及诉讼费等与仲裁或诉讼活动相关费用应由败诉方负担。</w:t>
      </w:r>
    </w:p>
    <w:p w14:paraId="1F99B288">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lang w:val="en-US" w:eastAsia="zh-CN"/>
        </w:rPr>
        <w:t>12.</w:t>
      </w:r>
      <w:r>
        <w:rPr>
          <w:rFonts w:hint="eastAsia" w:hAnsi="宋体" w:eastAsia="宋体" w:cs="仿宋"/>
          <w:b/>
          <w:color w:val="auto"/>
          <w:sz w:val="21"/>
          <w:szCs w:val="21"/>
          <w:highlight w:val="none"/>
        </w:rPr>
        <w:t>合同转让和分包</w:t>
      </w:r>
    </w:p>
    <w:p w14:paraId="705D126A">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12.1乙方不得以任何形式将合同转包，或部分或全部转让其应履行的合同义务。</w:t>
      </w:r>
    </w:p>
    <w:p w14:paraId="75613D60">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w:t>
      </w:r>
      <w:r>
        <w:rPr>
          <w:rFonts w:hint="eastAsia" w:hAnsi="宋体" w:eastAsia="宋体" w:cs="仿宋"/>
          <w:color w:val="auto"/>
          <w:sz w:val="21"/>
          <w:szCs w:val="21"/>
          <w:highlight w:val="none"/>
          <w:lang w:val="en-US" w:eastAsia="zh-CN"/>
        </w:rPr>
        <w:t>2</w:t>
      </w:r>
      <w:r>
        <w:rPr>
          <w:rFonts w:hint="eastAsia" w:hAnsi="宋体" w:eastAsia="宋体" w:cs="仿宋"/>
          <w:color w:val="auto"/>
          <w:sz w:val="21"/>
          <w:szCs w:val="21"/>
          <w:highlight w:val="none"/>
        </w:rPr>
        <w:t>.2除经甲方事先书面同意外，乙方不得以任何形式将合同分包。</w:t>
      </w:r>
    </w:p>
    <w:p w14:paraId="2E8B2023">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13.适用法律</w:t>
      </w:r>
    </w:p>
    <w:p w14:paraId="6A54997C">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13.1本合同适用中华人民共和国现行法律、行政法规和规章，如合同条款与法律、行政法规和规章不一致的，按照法律、行政法规和规章修改本合同。</w:t>
      </w:r>
    </w:p>
    <w:p w14:paraId="5AF0BA7D">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14.合同语言</w:t>
      </w:r>
    </w:p>
    <w:p w14:paraId="1DDB9DB7">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14.1本合同语言为中文。</w:t>
      </w:r>
    </w:p>
    <w:p w14:paraId="485E9DCB">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14.2双方交换的与合同有关的信件和其他文件应用合同语言书写。</w:t>
      </w:r>
    </w:p>
    <w:p w14:paraId="7AD65725">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15.合同生效</w:t>
      </w:r>
    </w:p>
    <w:p w14:paraId="545738B6">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15.1本合同应在双方签字盖章后生效。</w:t>
      </w:r>
    </w:p>
    <w:p w14:paraId="088544B9">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16.合同效力</w:t>
      </w:r>
    </w:p>
    <w:p w14:paraId="4BF4A1F5">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16.1</w:t>
      </w:r>
      <w:bookmarkStart w:id="2" w:name="_Hlk535773071"/>
      <w:r>
        <w:rPr>
          <w:rFonts w:hint="eastAsia" w:hAnsi="宋体" w:eastAsia="宋体" w:cs="仿宋"/>
          <w:color w:val="auto"/>
          <w:sz w:val="21"/>
          <w:szCs w:val="21"/>
          <w:highlight w:val="none"/>
        </w:rPr>
        <w:t>除本合同和甲乙双方书面签署的补充协议外，其他任何形式的双方约定和往来函件均不具有法律效力，对本项目无约束力。</w:t>
      </w:r>
    </w:p>
    <w:bookmarkEnd w:id="2"/>
    <w:p w14:paraId="5B53F60C">
      <w:pPr>
        <w:pStyle w:val="9"/>
        <w:spacing w:line="360" w:lineRule="auto"/>
        <w:rPr>
          <w:rFonts w:hAnsi="宋体" w:eastAsia="宋体" w:cs="仿宋"/>
          <w:b/>
          <w:color w:val="auto"/>
          <w:sz w:val="21"/>
          <w:szCs w:val="21"/>
          <w:highlight w:val="none"/>
        </w:rPr>
      </w:pPr>
      <w:r>
        <w:rPr>
          <w:rFonts w:hint="eastAsia" w:hAnsi="宋体" w:eastAsia="宋体" w:cs="仿宋"/>
          <w:b/>
          <w:color w:val="auto"/>
          <w:sz w:val="21"/>
          <w:szCs w:val="21"/>
          <w:highlight w:val="none"/>
        </w:rPr>
        <w:t>17.检查和审计</w:t>
      </w:r>
    </w:p>
    <w:p w14:paraId="0D318F1A">
      <w:pPr>
        <w:pStyle w:val="9"/>
        <w:spacing w:line="360" w:lineRule="auto"/>
        <w:ind w:firstLine="420" w:firstLineChars="200"/>
        <w:rPr>
          <w:rFonts w:hAnsi="宋体" w:eastAsia="宋体" w:cs="仿宋"/>
          <w:color w:val="auto"/>
          <w:sz w:val="21"/>
          <w:szCs w:val="21"/>
          <w:highlight w:val="none"/>
        </w:rPr>
      </w:pPr>
      <w:r>
        <w:rPr>
          <w:rFonts w:hint="eastAsia" w:hAnsi="宋体" w:eastAsia="宋体" w:cs="仿宋"/>
          <w:color w:val="auto"/>
          <w:sz w:val="21"/>
          <w:szCs w:val="21"/>
          <w:highlight w:val="none"/>
        </w:rPr>
        <w:t>17.1在本合同的履行过程中，甲方有权对乙方的合同履约情况进行阶段性检查，并对乙方投标时提供的相关资料进行复核。</w:t>
      </w:r>
    </w:p>
    <w:p w14:paraId="612EEBCC">
      <w:pPr>
        <w:pStyle w:val="9"/>
        <w:spacing w:line="360" w:lineRule="auto"/>
        <w:ind w:firstLine="420" w:firstLineChars="200"/>
        <w:rPr>
          <w:color w:val="auto"/>
          <w:highlight w:val="none"/>
        </w:rPr>
      </w:pPr>
      <w:r>
        <w:rPr>
          <w:rFonts w:hint="eastAsia" w:hAnsi="宋体" w:eastAsia="宋体" w:cs="仿宋"/>
          <w:color w:val="auto"/>
          <w:sz w:val="21"/>
          <w:szCs w:val="21"/>
          <w:highlight w:val="none"/>
        </w:rPr>
        <w:t>17.2在本合同的履行过程中，如果甲乙双方发生争议或者乙方没有按照合同约定履行义务，乙方应允许甲方检查乙方与实施本合同有关的账户和记录，并由甲方指定的审计人员对其进行审计。</w:t>
      </w:r>
    </w:p>
    <w:sectPr>
      <w:headerReference r:id="rId3" w:type="default"/>
      <w:footerReference r:id="rId4" w:type="default"/>
      <w:pgSz w:w="11906" w:h="16838"/>
      <w:pgMar w:top="1440" w:right="1486"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Apple Color Emoji">
    <w:altName w:val="Segoe Print"/>
    <w:panose1 w:val="00000000000000000000"/>
    <w:charset w:val="00"/>
    <w:family w:val="auto"/>
    <w:pitch w:val="default"/>
    <w:sig w:usb0="00000000" w:usb1="00000000" w:usb2="14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A9EFD">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FAB685">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FAB685">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E5F0F">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FD2142"/>
    <w:multiLevelType w:val="singleLevel"/>
    <w:tmpl w:val="B4FD214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A51EA"/>
    <w:rsid w:val="034C108A"/>
    <w:rsid w:val="05FD1BBE"/>
    <w:rsid w:val="06AC0A0C"/>
    <w:rsid w:val="07E64C3E"/>
    <w:rsid w:val="0E422CE9"/>
    <w:rsid w:val="0E7331C3"/>
    <w:rsid w:val="0EC73F5E"/>
    <w:rsid w:val="0FA314C4"/>
    <w:rsid w:val="100C66D5"/>
    <w:rsid w:val="122A05F8"/>
    <w:rsid w:val="16FC29C4"/>
    <w:rsid w:val="17395C7D"/>
    <w:rsid w:val="18622CA6"/>
    <w:rsid w:val="18EB6B88"/>
    <w:rsid w:val="1E731794"/>
    <w:rsid w:val="20E56222"/>
    <w:rsid w:val="211511D9"/>
    <w:rsid w:val="22077ED1"/>
    <w:rsid w:val="240D341D"/>
    <w:rsid w:val="24422E26"/>
    <w:rsid w:val="26E7587D"/>
    <w:rsid w:val="29DF3391"/>
    <w:rsid w:val="2B780E96"/>
    <w:rsid w:val="2EA62314"/>
    <w:rsid w:val="30640F12"/>
    <w:rsid w:val="30DB2D00"/>
    <w:rsid w:val="31F05F32"/>
    <w:rsid w:val="3465383C"/>
    <w:rsid w:val="37322601"/>
    <w:rsid w:val="3C4B74FD"/>
    <w:rsid w:val="3CB75A27"/>
    <w:rsid w:val="3D643E0C"/>
    <w:rsid w:val="3D6E74D6"/>
    <w:rsid w:val="3FB5178A"/>
    <w:rsid w:val="40CC25C5"/>
    <w:rsid w:val="43260E58"/>
    <w:rsid w:val="4541667C"/>
    <w:rsid w:val="49787CEA"/>
    <w:rsid w:val="4AFE4EC2"/>
    <w:rsid w:val="54613836"/>
    <w:rsid w:val="54897A6D"/>
    <w:rsid w:val="5B6B56EA"/>
    <w:rsid w:val="5D5B6D2D"/>
    <w:rsid w:val="5DB91FC8"/>
    <w:rsid w:val="5E041700"/>
    <w:rsid w:val="60E0460C"/>
    <w:rsid w:val="61915623"/>
    <w:rsid w:val="623C0084"/>
    <w:rsid w:val="634C5649"/>
    <w:rsid w:val="653964D0"/>
    <w:rsid w:val="65705DC1"/>
    <w:rsid w:val="678332EB"/>
    <w:rsid w:val="68595EE4"/>
    <w:rsid w:val="69507602"/>
    <w:rsid w:val="6AC86D51"/>
    <w:rsid w:val="6C6104A5"/>
    <w:rsid w:val="6F2A51EA"/>
    <w:rsid w:val="6F364F80"/>
    <w:rsid w:val="6FAC02E5"/>
    <w:rsid w:val="710A048B"/>
    <w:rsid w:val="711F04E9"/>
    <w:rsid w:val="73D32C53"/>
    <w:rsid w:val="73F45085"/>
    <w:rsid w:val="76766876"/>
    <w:rsid w:val="780C7A6F"/>
    <w:rsid w:val="7B651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0"/>
    <w:pPr>
      <w:keepNext/>
      <w:spacing w:after="100" w:line="240" w:lineRule="auto"/>
      <w:ind w:firstLine="0" w:firstLineChars="0"/>
      <w:jc w:val="center"/>
      <w:outlineLvl w:val="0"/>
    </w:pPr>
    <w:rPr>
      <w:b/>
      <w:bCs/>
      <w:kern w:val="0"/>
      <w:sz w:val="44"/>
      <w:szCs w:val="44"/>
    </w:rPr>
  </w:style>
  <w:style w:type="paragraph" w:styleId="2">
    <w:name w:val="heading 2"/>
    <w:basedOn w:val="1"/>
    <w:next w:val="1"/>
    <w:link w:val="18"/>
    <w:semiHidden/>
    <w:unhideWhenUsed/>
    <w:qFormat/>
    <w:uiPriority w:val="0"/>
    <w:pPr>
      <w:keepNext/>
      <w:spacing w:line="240" w:lineRule="auto"/>
      <w:ind w:leftChars="200" w:firstLine="0" w:firstLineChars="0"/>
      <w:jc w:val="left"/>
      <w:outlineLvl w:val="1"/>
    </w:pPr>
    <w:rPr>
      <w:b/>
      <w:bCs/>
      <w:kern w:val="0"/>
      <w:sz w:val="32"/>
      <w:szCs w:val="32"/>
    </w:rPr>
  </w:style>
  <w:style w:type="paragraph" w:styleId="4">
    <w:name w:val="heading 3"/>
    <w:basedOn w:val="1"/>
    <w:next w:val="1"/>
    <w:link w:val="19"/>
    <w:semiHidden/>
    <w:unhideWhenUsed/>
    <w:qFormat/>
    <w:uiPriority w:val="0"/>
    <w:pPr>
      <w:keepNext/>
      <w:spacing w:line="240" w:lineRule="auto"/>
      <w:ind w:leftChars="200" w:firstLine="0" w:firstLineChars="0"/>
      <w:outlineLvl w:val="2"/>
    </w:pPr>
    <w:rPr>
      <w:b/>
      <w:bCs/>
      <w:kern w:val="0"/>
    </w:rPr>
  </w:style>
  <w:style w:type="paragraph" w:styleId="5">
    <w:name w:val="heading 4"/>
    <w:basedOn w:val="1"/>
    <w:next w:val="1"/>
    <w:link w:val="20"/>
    <w:semiHidden/>
    <w:unhideWhenUsed/>
    <w:qFormat/>
    <w:uiPriority w:val="0"/>
    <w:pPr>
      <w:keepNext/>
      <w:keepLines/>
      <w:spacing w:before="280" w:beforeLines="0" w:after="290" w:afterLines="0" w:line="240" w:lineRule="auto"/>
      <w:ind w:leftChars="0" w:firstLine="0" w:firstLineChars="0"/>
      <w:jc w:val="left"/>
      <w:outlineLvl w:val="3"/>
    </w:pPr>
    <w:rPr>
      <w:b/>
      <w:bCs/>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b/>
      <w:sz w:val="28"/>
    </w:rPr>
  </w:style>
  <w:style w:type="paragraph" w:styleId="7">
    <w:name w:val="Body Text Indent"/>
    <w:basedOn w:val="1"/>
    <w:qFormat/>
    <w:uiPriority w:val="0"/>
    <w:pPr>
      <w:spacing w:after="120" w:afterLines="0" w:afterAutospacing="0"/>
      <w:ind w:left="420" w:leftChars="200"/>
    </w:pPr>
  </w:style>
  <w:style w:type="paragraph" w:styleId="8">
    <w:name w:val="List 2"/>
    <w:basedOn w:val="1"/>
    <w:qFormat/>
    <w:uiPriority w:val="0"/>
    <w:pPr>
      <w:ind w:left="100" w:leftChars="200" w:hanging="200" w:hangingChars="200"/>
    </w:pPr>
  </w:style>
  <w:style w:type="paragraph" w:styleId="9">
    <w:name w:val="Plain Text"/>
    <w:basedOn w:val="1"/>
    <w:next w:val="1"/>
    <w:qFormat/>
    <w:uiPriority w:val="0"/>
    <w:rPr>
      <w:rFonts w:ascii="宋体" w:hAnsi="Courier New" w:eastAsia="华文宋体"/>
      <w:sz w:val="28"/>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Body Text First Indent"/>
    <w:basedOn w:val="6"/>
    <w:qFormat/>
    <w:uiPriority w:val="0"/>
    <w:pPr>
      <w:adjustRightInd w:val="0"/>
      <w:ind w:firstLine="420"/>
      <w:jc w:val="left"/>
      <w:textAlignment w:val="baseline"/>
    </w:pPr>
    <w:rPr>
      <w:b w:val="0"/>
      <w:kern w:val="0"/>
      <w:sz w:val="21"/>
    </w:rPr>
  </w:style>
  <w:style w:type="paragraph" w:styleId="13">
    <w:name w:val="Body Text First Indent 2"/>
    <w:basedOn w:val="7"/>
    <w:qFormat/>
    <w:uiPriority w:val="0"/>
    <w:pPr>
      <w:ind w:firstLine="420" w:firstLineChars="200"/>
    </w:pPr>
  </w:style>
  <w:style w:type="character" w:styleId="16">
    <w:name w:val="annotation reference"/>
    <w:basedOn w:val="15"/>
    <w:semiHidden/>
    <w:unhideWhenUsed/>
    <w:qFormat/>
    <w:uiPriority w:val="0"/>
    <w:rPr>
      <w:sz w:val="21"/>
      <w:szCs w:val="21"/>
    </w:rPr>
  </w:style>
  <w:style w:type="character" w:customStyle="1" w:styleId="17">
    <w:name w:val="标题 1 Char"/>
    <w:link w:val="3"/>
    <w:qFormat/>
    <w:uiPriority w:val="0"/>
    <w:rPr>
      <w:rFonts w:ascii="仿宋" w:hAnsi="仿宋" w:eastAsia="仿宋" w:cs="仿宋"/>
      <w:b/>
      <w:bCs/>
      <w:kern w:val="0"/>
      <w:sz w:val="44"/>
      <w:szCs w:val="44"/>
    </w:rPr>
  </w:style>
  <w:style w:type="character" w:customStyle="1" w:styleId="18">
    <w:name w:val="标题 2 Char"/>
    <w:link w:val="2"/>
    <w:qFormat/>
    <w:uiPriority w:val="0"/>
    <w:rPr>
      <w:rFonts w:ascii="仿宋" w:hAnsi="仿宋" w:eastAsia="宋体" w:cs="宋体"/>
      <w:b/>
      <w:bCs/>
      <w:kern w:val="0"/>
      <w:sz w:val="32"/>
      <w:szCs w:val="32"/>
    </w:rPr>
  </w:style>
  <w:style w:type="character" w:customStyle="1" w:styleId="19">
    <w:name w:val="标题 3 Char"/>
    <w:link w:val="4"/>
    <w:qFormat/>
    <w:uiPriority w:val="0"/>
    <w:rPr>
      <w:rFonts w:ascii="宋体" w:hAnsi="宋体" w:eastAsia="宋体"/>
      <w:b/>
      <w:bCs/>
      <w:kern w:val="0"/>
      <w:sz w:val="28"/>
    </w:rPr>
  </w:style>
  <w:style w:type="character" w:customStyle="1" w:styleId="20">
    <w:name w:val="标题 4 Char"/>
    <w:link w:val="5"/>
    <w:qFormat/>
    <w:uiPriority w:val="0"/>
    <w:rPr>
      <w:rFonts w:ascii="宋体" w:hAnsi="宋体" w:eastAsia="宋体"/>
      <w:b/>
      <w:bCs/>
    </w:rPr>
  </w:style>
  <w:style w:type="paragraph" w:customStyle="1" w:styleId="21">
    <w:name w:val="Default"/>
    <w:qFormat/>
    <w:uiPriority w:val="99"/>
    <w:pPr>
      <w:widowControl w:val="0"/>
      <w:autoSpaceDE w:val="0"/>
      <w:autoSpaceDN w:val="0"/>
      <w:adjustRightInd w:val="0"/>
    </w:pPr>
    <w:rPr>
      <w:rFonts w:ascii="Calibri" w:hAnsi="Calibri" w:eastAsia="微软雅黑" w:cs="Calibri"/>
      <w:color w:val="000000"/>
      <w:sz w:val="24"/>
      <w:szCs w:val="24"/>
      <w:lang w:val="en-US" w:eastAsia="zh-CN" w:bidi="ar-SA"/>
    </w:r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paragraph" w:styleId="2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918</Words>
  <Characters>951</Characters>
  <Lines>0</Lines>
  <Paragraphs>0</Paragraphs>
  <TotalTime>20</TotalTime>
  <ScaleCrop>false</ScaleCrop>
  <LinksUpToDate>false</LinksUpToDate>
  <CharactersWithSpaces>957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2025-05-26T14:32:00Z</dcterms:created>
  <dc:creator>朱娟</dc:creator>
  <cp:lastModifiedBy>朱娟</cp:lastModifiedBy>
  <dcterms:modified xsi:type="dcterms:W3CDTF">2025-06-06T03:30:00Z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666CD2C47CA94DF19F8AC25DEDF5ACF6_13</vt:lpwstr>
  </property>
  <property fmtid="{D5CDD505-2E9C-101B-9397-08002B2CF9AE}" pid="4" name="KSOTemplateDocerSaveRecord">
    <vt:lpwstr>eyJoZGlkIjoiMmQxOTU3NzVlZWIwMjUxZDI1ODUwYWNiYjFjY2VmNGIiLCJ1c2VySWQiOiIyMDIwODMyODIifQ==</vt:lpwstr>
  </property>
</Properties>
</file>