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版本号：DZDL-2025-016ZZ20250606001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第三方参与“医疗保障基金常态化监管工作”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DZDL-2025-016ZZ</w:t>
      </w:r>
      <w:r>
        <w:br/>
      </w:r>
      <w:r>
        <w:br/>
      </w:r>
      <w:r>
        <w:br/>
      </w:r>
    </w:p>
    <w:p>
      <w:pPr>
        <w:pStyle w:val="null3"/>
        <w:jc w:val="center"/>
        <w:outlineLvl w:val="2"/>
      </w:pPr>
      <w:r>
        <w:rPr>
          <w:rFonts w:ascii="仿宋_GB2312" w:hAnsi="仿宋_GB2312" w:cs="仿宋_GB2312" w:eastAsia="仿宋_GB2312"/>
          <w:sz w:val="28"/>
          <w:b/>
        </w:rPr>
        <w:t>西安市医疗保障局</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西安市医疗保障局</w:t>
      </w:r>
      <w:r>
        <w:rPr>
          <w:rFonts w:ascii="仿宋_GB2312" w:hAnsi="仿宋_GB2312" w:cs="仿宋_GB2312" w:eastAsia="仿宋_GB2312"/>
        </w:rPr>
        <w:t>委托，拟对</w:t>
      </w:r>
      <w:r>
        <w:rPr>
          <w:rFonts w:ascii="仿宋_GB2312" w:hAnsi="仿宋_GB2312" w:cs="仿宋_GB2312" w:eastAsia="仿宋_GB2312"/>
        </w:rPr>
        <w:t>第三方参与“医疗保障基金常态化监管工作”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DZDL-2025-016ZZ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第三方参与“医疗保障基金常态化监管工作”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引入第三方的专业技术和资源，协助采购人建立更加完善、高效的医保基金监管体系，一是精准识别违法违规行为，有效遏制医保基金的不合理支出，确保医保基金安全、合理、高效运行；二是提升医保基金监管的智能化水平，利用大数据、人工智能等技术手段，实现对医保数据的分析，提高监管效率和准确性；三是通过医保基金常态化监管机制，对于在数据筛查及现场检查中发现的其它领域问题、加强部门协作及时移交相关线索、强化社会监督等措施，推动医保基金监管工作的规范化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采购包1（第三方参与“医疗保障基金常态化监管工作”）：属于专门面向小微企业采购。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029-86785995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029-88861150转615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代理服务费收费标准：根据《国家发展改革委关于降低部分建设项目收费标准规范收费行为等有关问题的通知》(发改价格[2011]534号)标准计取。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西安市医疗保障局</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磋商文件；成交供应商响应文件；已签订的合同文本；国家/行业相关标准及规范。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联系电话：029-88861150转615</w:t>
      </w:r>
    </w:p>
    <w:p>
      <w:pPr>
        <w:pStyle w:val="null3"/>
      </w:pPr>
      <w:r>
        <w:rPr>
          <w:rFonts w:ascii="仿宋_GB2312" w:hAnsi="仿宋_GB2312" w:cs="仿宋_GB2312" w:eastAsia="仿宋_GB2312"/>
        </w:rPr>
        <w:t>地址：西安市科技路48号创业广场B座1506室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引入第三方的专业技术和资源，协助采购人建立更加完善、高效的医保基金监管体系，一是精准识别违法违规行为，有效遏制医保基金的不合理支出，确保医保基金安全、合理、高效运行；二是提升医保基金监管的智能化水平，利用大数据、人工智能等技术手段，实现对医保数据的分析，提高监管效率和准确性；三是通过医保基金常态化监管机制，对于在数据筛查及现场检查中发现的其它领域问题、加强部门协作及时移交相关线索、强化社会监督等措施，推动医保基金监管工作的规范化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第三方参与“医疗保障基金常态化监管工作”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标的名称：第三方参与“医疗保障基金常态化监管工作”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rPr>
              <w:t>通过引入第三方的专业技术和资源，协助采购人建立更加完善、高效的医保基金监管体系，一是精准识别违法违规行为，有效遏制医保基金的不合理支出，确保医保基金安全、合理、高效运行；二是提升医保基金监管的智能化水平，利用大数据、人工智能等技术手段，实现对医保数据的分析，提高监管效率和准确性；三是通过医保基金常态化监管机制，对于在数据筛查及现场检查中发现的其它领域问题、加强部门协作及时移交相关线索、强化社会监督等措施，推动医保基金监管工作的规范化发展，具体安排如下：</w:t>
            </w:r>
          </w:p>
          <w:p>
            <w:pPr>
              <w:pStyle w:val="null3"/>
            </w:pPr>
            <w:r>
              <w:rPr>
                <w:rFonts w:ascii="仿宋_GB2312" w:hAnsi="仿宋_GB2312" w:cs="仿宋_GB2312" w:eastAsia="仿宋_GB2312"/>
              </w:rPr>
              <w:t>（一）开展年度检查数据筛查。按照国家及省医保2025年监管工作重点，结合西安市的年度工作计划，向各区（县）、开发区医保部门下发不少于300家二级定点医疗机构及统筹药店疑似问题数据，充分利用大数据分析对医药机构进行数据筛查，出具数据分析报告并按需派专家指导各级医保部门开展检查及后续处理工作。</w:t>
            </w:r>
          </w:p>
          <w:p>
            <w:pPr>
              <w:pStyle w:val="null3"/>
            </w:pPr>
            <w:r>
              <w:rPr>
                <w:rFonts w:ascii="仿宋_GB2312" w:hAnsi="仿宋_GB2312" w:cs="仿宋_GB2312" w:eastAsia="仿宋_GB2312"/>
              </w:rPr>
              <w:t>（二）配合开展现场检查。根据市局实际工作需要及安排，配合各级飞检或专项检查数据筛查及现场检查工作。</w:t>
            </w:r>
          </w:p>
          <w:p>
            <w:pPr>
              <w:pStyle w:val="null3"/>
            </w:pPr>
            <w:r>
              <w:rPr>
                <w:rFonts w:ascii="仿宋_GB2312" w:hAnsi="仿宋_GB2312" w:cs="仿宋_GB2312" w:eastAsia="仿宋_GB2312"/>
              </w:rPr>
              <w:t>（三）开展交叉检查。根据我市监管工作实际情况，下半年针对自查自纠成效靠后的区县，市局牵头组织对相关区县不超过15家医院及药店开展交叉检查，配合派出专家及技术人员开展现场检查及数据分析。</w:t>
            </w:r>
          </w:p>
          <w:p>
            <w:pPr>
              <w:pStyle w:val="null3"/>
            </w:pPr>
            <w:r>
              <w:rPr>
                <w:rFonts w:ascii="仿宋_GB2312" w:hAnsi="仿宋_GB2312" w:cs="仿宋_GB2312" w:eastAsia="仿宋_GB2312"/>
              </w:rPr>
              <w:t>（四）驻场服务。派驻1名具有较强的医保基金监管经验的人员，派驻期间服从市医保局管理，派驻时间1年。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供应商具有履行本项目合同需要的人员配置，提供加盖供应商公章的声明或承诺书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供应商具有履行本项目合同需要的设施设备，提供加盖供应商公章的声明或承诺书</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自合同签订时间起一年内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完成采购人指定的定点机构的数据分析工作和检查工作并移交相关资料。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整个服务结束后，次年第一季度组织相关领域专家进行项目验收，财政资金到位且确认验收合格后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1.乙方未能如期开展项目或迟延完成本合同约定事项的，每日向甲方支付合同款项的千分之六作为违约金。乙方超过约定日期10个工作日仍不能开展的或迟延10日无法完成本合同约定事项的，甲方有权解除本合同。 2.乙方派出的驻场人员不能满足甲方要求的，乙方应自甲方发出通知后15日内更换至合格，否则甲方有权解除本合同。 3.乙方有违约行为累计3次或3次以上，或者任一违约行为经甲方告知后10日内未能改正的，甲方有权解除本合同。 4.乙方因未能如期开展项目工作或因其他违约行为导致甲方解除合同的，除承担相应违约金、退还已就本合同收取甲方的款项外还需额外向甲方支付合同总值5%的违约金，如造成甲方损失超过违约金的，超出部分由乙方继续承担赔偿责任。 5.乙方未能完成项目约定要求，乙方将被甲方列入合作黑名单，三年内不得参与甲方的业务。 6.违约金约定：乙方未能如期开展项目或迟延完成本合同约定事项的，每日向甲方支付合同款项的千分之六作为违约金。乙方超过约定日期10个工作日仍不能开展的，甲方可解除本合同。乙方因未能如期开展项目工作或因其他违约行为导致甲方解除合同的，除承担相应违约金、退还已就本合同收取甲方的款项外还需额外向甲方支付合同总值5%的违约金，如造成甲方损失超过违约金的，超出部分由乙方继续承担赔偿责任。 合同纠纷的解决方式： 1.合同各方应通过友好协商，解决在执行合同过程中所发生的或与合同有关的一切争端。如协商30日内不能解决，可以向采购人所在地提起诉讼。 2.诉讼应由甲方住所地人民法院管辖。财产保全担保保险费、财产保全申请费、律师代理费、差旅费、评估费、鉴定费及诉讼费等与仲裁或诉讼活动相关费用应由败诉方负担。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成交供应商通过项目电子化交易系统获取成交通知书后三日内需向代理机构提交三份与电子交易化系统响应文件一致并胶装成册的纸质响应文件。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供应商承诺书.docx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 ；（2）报价符合唯一性要求； （3）未超出采购预算或最高限价 ；（4）符合《报价表》及《标的清单》的填报要求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供应商通过①质量管理体系认证②信息技术服务管理体系认证③信息安全体系认证④隐私信息管理体系认证⑤数据治理符合性评价证书，每提供一个证书1分，最高5分。注：以加盖供应商公章的的证书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软件产品著作权登记证书</w:t>
            </w:r>
          </w:p>
        </w:tc>
        <w:tc>
          <w:tcPr>
            <w:tcW w:type="dxa" w:w="2492"/>
          </w:tcPr>
          <w:p>
            <w:pPr>
              <w:pStyle w:val="null3"/>
            </w:pPr>
            <w:r>
              <w:rPr>
                <w:rFonts w:ascii="仿宋_GB2312" w:hAnsi="仿宋_GB2312" w:cs="仿宋_GB2312" w:eastAsia="仿宋_GB2312"/>
              </w:rPr>
              <w:t>供应商具有医保基金大数据监管平台、医保基金反欺诈平台、DRG监管平台、数据采集平台、大数据管理平台、大数据稽核平台、医保基金监管流程管理系统等与医保基金综合监管相关的软件产品著作权登记证书任意五项的，每提供1个证书得1分，最高得5分。注：以加盖供应商公章的的证书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根据供应商针对本项目的服务内容制定工作服务方案，包括数据采集、清洗、标准化以及数据库建设、数据建模、数据报告、现场检查等必需的内容的服务方案进行综合评审： 一、评审标准 1.完整性：内容全面，对评审内容中的要求有详细描述，且包含对药店、医院、参保人的违法违规行为描述，以及精准识别每类欺诈行为的方法和落实方法； 2.可实施性：切合本项目实际情况，内容清晰合理； 3.针对性：能够紧扣本项目实际情况，内容科学合理。 二、赋分标准 每完全满足一个评审标准得2分，该评审项满分6分；方案内容欠缺，较难实施或非专门针对本项目、不适用本项目特性、套用其他项目内容，不利于采购目标的实现，该评审项计2分；不满足评审标准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违规事项及检查方法</w:t>
            </w:r>
          </w:p>
        </w:tc>
        <w:tc>
          <w:tcPr>
            <w:tcW w:type="dxa" w:w="2492"/>
          </w:tcPr>
          <w:p>
            <w:pPr>
              <w:pStyle w:val="null3"/>
            </w:pPr>
            <w:r>
              <w:rPr>
                <w:rFonts w:ascii="仿宋_GB2312" w:hAnsi="仿宋_GB2312" w:cs="仿宋_GB2312" w:eastAsia="仿宋_GB2312"/>
              </w:rPr>
              <w:t>根据供应商对医疗九大领域（①医学影像②医学检验③医学重症④肺癌⑤麻醉⑥骨科⑦血透⑧心内⑨康复理疗）的违规事项及检查方法进行综合评审： 一、评审标准 1.完整性：内容全面，对评审内容中的要求有详细描述，且包括但不限于对每一个重点内容存在的违法违规行为描述，以及针对每类违规行为的检查方法； 2.可实施性：切合本项目实际情况，内容清晰合理； 3.针对性：能够紧扣本项目实际情况，内容科学合理。 二、赋分标准 医疗九大领域（①医学影像②医学检验③医学重症④肺癌⑤麻醉⑥骨科⑦血透⑧心内⑨康复理疗），一个领域为一个评审项，每个评审项满分3分，合计27分。 每完全满足一个评审标准得1分，该评审项满分3分；方案内容欠缺，较难实施或非专门针对本项目、不适用本项目特性、套用其他项目内容，不利于采购目标的实现，该评审项计1分；不满足评审标准或未提供计0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反欺诈方案</w:t>
            </w:r>
          </w:p>
        </w:tc>
        <w:tc>
          <w:tcPr>
            <w:tcW w:type="dxa" w:w="2492"/>
          </w:tcPr>
          <w:p>
            <w:pPr>
              <w:pStyle w:val="null3"/>
            </w:pPr>
            <w:r>
              <w:rPr>
                <w:rFonts w:ascii="仿宋_GB2312" w:hAnsi="仿宋_GB2312" w:cs="仿宋_GB2312" w:eastAsia="仿宋_GB2312"/>
              </w:rPr>
              <w:t>根据供应商对欺诈骗保的监管事项、识别方法及检查方法制定的反欺诈方案进行综合评审： 一、评审标准 1.完整性：内容全面，对评审内容中的要求有详细描述，且包含对药店、医院、参保人的违法违规行为描述，以及精准识别每类欺诈行为的方法和落实方法； 2.可实施性：切合本项目实际情况，内容清晰合理； 3.针对性：能够紧扣本项目实际情况，内容科学合理。 二、赋分标准 每完全满足一个评审标准得2分，该评审项满分6分；方案内容欠缺，较难实施或非专门针对本项目、不适用本项目特性、套用其他项目内容，不利于采购目标的实现，该评审项计2分；不满足评审标准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项目实施管理组织、质量保证措施</w:t>
            </w:r>
          </w:p>
        </w:tc>
        <w:tc>
          <w:tcPr>
            <w:tcW w:type="dxa" w:w="2492"/>
          </w:tcPr>
          <w:p>
            <w:pPr>
              <w:pStyle w:val="null3"/>
            </w:pPr>
            <w:r>
              <w:rPr>
                <w:rFonts w:ascii="仿宋_GB2312" w:hAnsi="仿宋_GB2312" w:cs="仿宋_GB2312" w:eastAsia="仿宋_GB2312"/>
              </w:rPr>
              <w:t>对①项目实施管理组织②质量保证措施两个方面进行综合评审： 一、评审标准 1.完整性：内容全面，对评审内容中的要求有详细描述； 2.可实施性：切合本项目实际情况，内容清晰合理； 3.针对性：能够紧扣本项目实际情况，内容科学合理。 二、赋分标准 ①项目实施管理组织:每完全满足一个评审标准得1分，该评审项满分3分；方案内容欠缺，较难实施或非专门针对本项目、不适用本项目特性、套用其他项目内容，不利于采购目标的实现，该评审项计1分；不满足评审标准或未提供计0分。 ②质量保证措施:每完全满足一个评审标准得1分，该评审项满分3分；方案内容欠缺，较难实施或非专门针对本项目、不适用本项目特性、套用其他项目内容，不利于采购目标的实现，该评审项计1分；不满足评审标准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服务进度管控措施</w:t>
            </w:r>
          </w:p>
        </w:tc>
        <w:tc>
          <w:tcPr>
            <w:tcW w:type="dxa" w:w="2492"/>
          </w:tcPr>
          <w:p>
            <w:pPr>
              <w:pStyle w:val="null3"/>
            </w:pPr>
            <w:r>
              <w:rPr>
                <w:rFonts w:ascii="仿宋_GB2312" w:hAnsi="仿宋_GB2312" w:cs="仿宋_GB2312" w:eastAsia="仿宋_GB2312"/>
              </w:rPr>
              <w:t>根据供应商提供的服务进度管控措施进行综合评审： 一、评审标准 1.完整性：内容全面，对评审内容中的要求有详细描述，且详细列举了各项服务实施周期、流程和关键节点并配图说明，保障措施中列举因各种原因导致进度延误的相应补救措施； 2.可实施性：切合本项目实际情况，内容清晰合理； 3.针对性：能够紧扣本项目实际情况，内容科学合理。 二、赋分标准 每完全满足一个评审标准得1分，该评审项满分3分； 方案内容欠缺，较难实施或非专门针对本项目、不适用本项目特性、套用其他项目内容，不利于采购目标的实现，该评审项计1分； 不满足评审标准或未提供计0分。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根据供应商提供的应急保障措施进行综合评审： 一、评审标准 1.完整性：内容全面，对评审内容中的要求有详细描述，且列举了各类项目实施过程中可能遇到的突发状况及影响程度，以及成熟的解决方案以及相应的优化方案； 2.可实施性：切合本项目实际情况，内容清晰合理； 3.针对性：能够紧扣本项目实际情况，内容科学合理。 二、赋分标准 每完全满足一个评审标准得1分，该评审项满分3分；方案内容欠缺，较难实施或非专门针对本项目、不适用本项目特性、套用其他项目内容，不利于采购目标的实现，该评审项计1分；不满足评审标准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根据供应商针对本项目服务过程中的保密方案进行综合评审： 一、评审标准 1.完整性：内容全面，对评审内容中的要求有详细描述，且包括但不限于电子数据、纸质文件等不同信息载体的保密措施，设置保密专员定期进行自查自检； 2.可实施性：切合本项目实际情况，内容清晰合理； 3.针对性：能够紧扣本项目实际情况，内容科学合理。 二、赋分标准 每完全满足一个评审标准得1分，该评审项满分3分；方案内容欠缺，较难实施或非专门针对本项目、不适用本项目特性、套用其他项目内容，不利于采购目标的实现，该评审项计1分；不满足评审标准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根据供应商项目组成员进行评审： （1）项目负责人具有信息系统项目管理师或系统集成项目管理工程师，并具有相关工作经验的得2分。 （2）项目团队中（不含项目负责人）具有大数据分析相关专业人员并提供相关证书，每提供1名得0.5分，本项最高得3分； （3）项目团队中（不含项目负责人）具有医学或药学或护理学等相关专业人员并提供相关证书，每提供1名得0.5分，本项最高得4分； （4）项目团队中（不含项目负责人）具有会计或审计等相关专业人员并提供相关证书，每提供一名得0.5分，本项最高得2分。 注： 【相关人员证书的扫描件并加盖公章，且须同时提供相应人员自2025年1月1日以来任意1个月的社保缴纳证明并加盖公章；退休人员无需提供缴纳社会保险的凭据，但需提供退休证明、聘用协议或劳动合同。（上述人员同一人员仅允许计一次分值）】</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医学专家库</w:t>
            </w:r>
          </w:p>
        </w:tc>
        <w:tc>
          <w:tcPr>
            <w:tcW w:type="dxa" w:w="2492"/>
          </w:tcPr>
          <w:p>
            <w:pPr>
              <w:pStyle w:val="null3"/>
            </w:pPr>
            <w:r>
              <w:rPr>
                <w:rFonts w:ascii="仿宋_GB2312" w:hAnsi="仿宋_GB2312" w:cs="仿宋_GB2312" w:eastAsia="仿宋_GB2312"/>
              </w:rPr>
              <w:t>响应供应商为本项目组建副高级别（含）以上职称的医学专家库，人数在20人（含）以上的，得5分；人数在10-19人的，得3分；少于10人的，得1分；不提供者不得分。 注：供应商已有上述专家的，提供专家人员的合作或聘用协议以及专家的相关资格证明，承诺中标后组建的以专家储备情况表中承诺的合计人数为准。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提供2022年1月1日以来类似项目的业绩证明文件，每出具一份业绩证明文件得2分，满分10分。 注： 1.以响应文件中的加盖公章的类似项目服务合同扫描件为准。 2.以合同签订时间为准，合同未明确签订时间或签订时间不在规定时间内的不得分。 3.同一业主的同一项目以年为单位续签的多份合同，视为一个业绩。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