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版本号：ZCTH2025-05-04220250605001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2025年人力资源服务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ZCTH2025-05-042</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2025年人力资源服务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2025年人力资源服务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2025年人力资源服务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采购包1（2025年人力资源服务）：属于专门面向中小企业采购。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西安市灞桥区欧亚大道辅路与林泓路交叉口东北240米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王艺璟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参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 银行账号：61050110066700001164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西安市体育运动学校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2025年人力资源服务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服务范围</w:t>
            </w:r>
          </w:p>
          <w:p>
            <w:pPr>
              <w:pStyle w:val="null3"/>
              <w:jc w:val="both"/>
            </w:pPr>
            <w:r>
              <w:rPr>
                <w:rFonts w:ascii="仿宋_GB2312" w:hAnsi="仿宋_GB2312" w:cs="仿宋_GB2312" w:eastAsia="仿宋_GB2312"/>
                <w:sz w:val="21"/>
              </w:rPr>
              <w:t>根据国家法律法规及采购人要求，供应商须履行劳务派遣相关义务，包括但不限于招聘管理、劳动关系管理、社会保险、薪酬发放、人事资料管理、入离职管理及争议纠纷处理等。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rPr>
              <w:t>供应商需为本项目安排专门的、管理经验丰富的项目管理团队。</w:t>
            </w:r>
          </w:p>
          <w:p>
            <w:pPr>
              <w:pStyle w:val="null3"/>
              <w:ind w:firstLine="480"/>
              <w:jc w:val="both"/>
            </w:pPr>
            <w:r>
              <w:rPr>
                <w:rFonts w:ascii="仿宋_GB2312" w:hAnsi="仿宋_GB2312" w:cs="仿宋_GB2312" w:eastAsia="仿宋_GB2312"/>
              </w:rPr>
              <w:t>1.招聘管理要求</w:t>
            </w:r>
          </w:p>
          <w:p>
            <w:pPr>
              <w:pStyle w:val="null3"/>
              <w:ind w:firstLine="480"/>
              <w:jc w:val="both"/>
            </w:pPr>
            <w:r>
              <w:rPr>
                <w:rFonts w:ascii="仿宋_GB2312" w:hAnsi="仿宋_GB2312" w:cs="仿宋_GB2312" w:eastAsia="仿宋_GB2312"/>
              </w:rPr>
              <w:t>供应商应当对被派出到采购人的派遣员工进行必要的培训，涉及内容至少包括采购人公司简介、法律意识、安全意识和职业道德等。供应商应当保证受训人对于培训内容全部了解并掌握，使其能较好胜任劳务工作。</w:t>
            </w:r>
          </w:p>
          <w:p>
            <w:pPr>
              <w:pStyle w:val="null3"/>
              <w:ind w:firstLine="480"/>
              <w:jc w:val="both"/>
            </w:pPr>
            <w:r>
              <w:rPr>
                <w:rFonts w:ascii="仿宋_GB2312" w:hAnsi="仿宋_GB2312" w:cs="仿宋_GB2312" w:eastAsia="仿宋_GB2312"/>
              </w:rPr>
              <w:t>2.劳动关系管理要求</w:t>
            </w:r>
          </w:p>
          <w:p>
            <w:pPr>
              <w:pStyle w:val="null3"/>
              <w:ind w:firstLine="480"/>
              <w:jc w:val="both"/>
            </w:pPr>
            <w:r>
              <w:rPr>
                <w:rFonts w:ascii="仿宋_GB2312" w:hAnsi="仿宋_GB2312" w:cs="仿宋_GB2312" w:eastAsia="仿宋_GB2312"/>
              </w:rPr>
              <w:t>供应商应根据国家法律法规相关要求，及时与派遣员工建立劳动关系。此外，供应商需委派专业项目管理团队，协调采购人与派遣员工之间的关系，负责派遣员工的日常管理，协助处理劳动争议与其他务工事项。</w:t>
            </w:r>
          </w:p>
          <w:p>
            <w:pPr>
              <w:pStyle w:val="null3"/>
              <w:ind w:firstLine="480"/>
              <w:jc w:val="both"/>
            </w:pPr>
            <w:r>
              <w:rPr>
                <w:rFonts w:ascii="仿宋_GB2312" w:hAnsi="仿宋_GB2312" w:cs="仿宋_GB2312" w:eastAsia="仿宋_GB2312"/>
              </w:rPr>
              <w:t>3.办理社会保险要求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供应商应依法按时足额发放派遣员工劳务报酬、缴纳各项保险，并根据派遣员工工资收入，申报社会保险缴费基数，代扣代缴应由员工个人缴纳的社会保险费、个人所得税和依法应予代扣代缴的其他费用后，以银行工资卡的方式，按规定时间发放员工的工资。</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2）派遣员工派遣期届满后，社会保险关系的转移等手续由供应商办理。</w:t>
            </w:r>
          </w:p>
          <w:p>
            <w:pPr>
              <w:pStyle w:val="null3"/>
              <w:ind w:firstLine="480"/>
              <w:jc w:val="both"/>
            </w:pPr>
            <w:r>
              <w:rPr>
                <w:rFonts w:ascii="仿宋_GB2312" w:hAnsi="仿宋_GB2312" w:cs="仿宋_GB2312" w:eastAsia="仿宋_GB2312"/>
              </w:rPr>
              <w:t>4.薪酬发放要求</w:t>
            </w:r>
          </w:p>
          <w:p>
            <w:pPr>
              <w:pStyle w:val="null3"/>
              <w:ind w:firstLine="480"/>
              <w:jc w:val="both"/>
            </w:pPr>
            <w:r>
              <w:rPr>
                <w:rFonts w:ascii="仿宋_GB2312" w:hAnsi="仿宋_GB2312" w:cs="仿宋_GB2312" w:eastAsia="仿宋_GB2312"/>
              </w:rPr>
              <w:t>工资核算及发放：供应商根据采购人核定的薪酬标准，在采购人指定的日期前向派遣员工核算并足额发放当月工资，向采购人提供薪酬发放明细，且开具对应发票；</w:t>
            </w:r>
          </w:p>
          <w:p>
            <w:pPr>
              <w:pStyle w:val="null3"/>
              <w:ind w:firstLine="480"/>
              <w:jc w:val="both"/>
            </w:pPr>
            <w:r>
              <w:rPr>
                <w:rFonts w:ascii="仿宋_GB2312" w:hAnsi="仿宋_GB2312" w:cs="仿宋_GB2312" w:eastAsia="仿宋_GB2312"/>
              </w:rPr>
              <w:t>5.人事资料管理要求</w:t>
            </w:r>
          </w:p>
          <w:p>
            <w:pPr>
              <w:pStyle w:val="null3"/>
              <w:ind w:firstLine="480"/>
              <w:jc w:val="both"/>
            </w:pPr>
            <w:r>
              <w:rPr>
                <w:rFonts w:ascii="仿宋_GB2312" w:hAnsi="仿宋_GB2312" w:cs="仿宋_GB2312" w:eastAsia="仿宋_GB2312"/>
              </w:rPr>
              <w:t>供应商应根据行业规定做好派遣人员的人事资料管理，并根据采购人或派遣员工需要及时提供。</w:t>
            </w:r>
          </w:p>
          <w:p>
            <w:pPr>
              <w:pStyle w:val="null3"/>
              <w:ind w:firstLine="480"/>
              <w:jc w:val="both"/>
            </w:pPr>
            <w:r>
              <w:rPr>
                <w:rFonts w:ascii="仿宋_GB2312" w:hAnsi="仿宋_GB2312" w:cs="仿宋_GB2312" w:eastAsia="仿宋_GB2312"/>
              </w:rPr>
              <w:t>6.入离职管理要求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1）供应商应做好派遣人员的入离职率统计，针对派遣员工的实际入离职数据，提供分析报告。定期向采购人提供分析报告。</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派遣员工因故发生变更时，供应商须提前2周书面告知采购人，经采购人同意后方可变更，如遇派遣离职情况，供应商应在离职之日起三个工作日内向采购人出具该人员离职证明文件，且供应商须在该人员离职前2周内补充合格人员并做好相关工作交接。</w:t>
            </w:r>
          </w:p>
          <w:p>
            <w:pPr>
              <w:pStyle w:val="null3"/>
              <w:ind w:firstLine="480"/>
              <w:jc w:val="both"/>
            </w:pPr>
            <w:r>
              <w:rPr>
                <w:rFonts w:ascii="仿宋_GB2312" w:hAnsi="仿宋_GB2312" w:cs="仿宋_GB2312" w:eastAsia="仿宋_GB2312"/>
              </w:rPr>
              <w:t>7.争议纠纷处理要求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1）劳动纠纷问题的现场处理:供应商负责快速、及时处理员工与采购人的劳动争议，包括协助仲裁，法律咨询等，不给采购人造成负面影响。</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2）工伤/工亡及突发意外事件处理：采购人快速、及时处理派遣人员工伤/工亡及突发意外等相关事故，不给采购人造成负面影响。</w:t>
            </w:r>
          </w:p>
          <w:p>
            <w:pPr>
              <w:pStyle w:val="null3"/>
              <w:ind w:firstLine="480"/>
              <w:jc w:val="both"/>
            </w:pPr>
            <w:r>
              <w:rPr>
                <w:rFonts w:ascii="仿宋_GB2312" w:hAnsi="仿宋_GB2312" w:cs="仿宋_GB2312" w:eastAsia="仿宋_GB2312"/>
              </w:rPr>
              <w:t>8.其他要求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1）派遣员工行为若违反法律等，并给采购人造成经济损失的，供应商应积极主动配合采购人及公检法部门的工作办理相关事宜；</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派遣员工在履行合同期间发生因工人身伤亡事故时，采购人在事发24小时内电话及书面通知供应商，并提供所需资料，由供应商统计、上报、申请理赔。供应商申报完成后，供应商应依法及时足额支付给员工及其家属；</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3）派遣员工非因工死亡时，社会保险应支付给派遣员工的费用由供应商负责按照社会保险机构的规定申领并依法支付给派遣员工家属；</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4）用工期间若派遣员工出现违反采购人相关规定的，在接到采购人通知及证明材料后应第一时间作出相应处罚，情节严重的应予以解聘。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5）对派遣员工的人数、工资、奖金、加班费、津补贴、社会保险费、福利费等，按采购人有关规定执行。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派遣人员17名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服务质量：质量达到现行合格标准，符合国家、行业、地方规定的质量和安全标准要求。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服务合同签订后，由乙方提出付款申请并开具增值税发票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合同签订后两个月，由乙方提出付款申请并开具增值税发票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合同签订后四个月，由乙方提出付款申请并开具增值税发票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合同签订后六个月，由乙方提出付款申请并开具增值税发票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分项报价表(1).docx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1.响应文件是否按照磋商文件规定提交的；2.响应文件的签署、加盖印章是否合格、有效；提供的各种证明文件、数据、资料是否真实、有效； 3.磋商报价是否超过采购预算；4.17人五险一金及工资固定价格是否等于97万元；5.磋商报价有效期符合磋商文件的要求。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标的清单 分项报价表(1).docx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提供针对本项目采购人要求的服务内容的需求分析（包括但不限于①工作现状分析；②采购人业务需求分析；③行业特殊性的重点难点分析等方面）。 二、评审标准 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针对本项目提供具体可行的服务方案，包括但不限于①管理方案；②服务定位；③服务方案；④考核机制；⑤监督机制；⑥制定档案资料管理和移交工作制度。 二、评审标准 完善性：方案必须全面，对评审内容中的各项要求有详细阐述； 2、可实施性：切合本项目实际情况，提出步骤清晰、合理的方案； 3、针对性：方案能够紧扣项目实际情况，内容科学合理。 上述6项评审内容全部满足评审标准得18分，每有一个评审内容缺项扣3分，每有一项评审内容存在缺陷，扣（0-3）分，扣完为止。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一、评审内容 针对本项目提供具体可行的服务质量控制措施及承诺，包括但不限于①培训方案；②有利于本项目实施的服务承诺；③质量保证措施。 二、评审标准 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针对本项目提供具体可行的团队配置方案，包括但不限于①团队人员架构；②岗位人员配置合理，有丰富的项目经验；③团队人员管理制度。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上述3项评审内容全部满足评审标准得18分，每有一个评审内容缺项扣6分，每有一项评审内容存在缺陷，扣（0-6）分，扣完为止。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针对本项目提供具体可行的应急方案，包括但不限于①发生故障或事故时的应急方案；②劳务纠纷；③工伤处置预案。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供应商具有2022年1月至今的同类业绩证明文件（以合同签订时间为准），每提供一个得2分，满分6分。 注：响应文件中附加盖供应商公章的合同复印件。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价格分统一采用低价优先法计算，即满足磋商文件要求且管理费最低的磋商报价为磋商基准价，其价格分为满分。其他供应商的价格分统一按照下列公式计算： 磋商报价得分=(磋商基准价／磋商报价)×10 计算分数时四舍五入取小数点后两位（17人工资及五险一金不参与打分）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