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9CADF1">
      <w:pPr>
        <w:pStyle w:val="11"/>
      </w:pPr>
    </w:p>
    <w:p w14:paraId="3B86D5CC">
      <w:pPr>
        <w:spacing w:line="360" w:lineRule="auto"/>
        <w:jc w:val="center"/>
        <w:rPr>
          <w:rFonts w:hint="eastAsia"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lang w:eastAsia="zh-CN"/>
        </w:rPr>
        <w:t>西安计量技术研究院</w:t>
      </w:r>
      <w:r>
        <w:rPr>
          <w:rFonts w:hint="eastAsia" w:asciiTheme="minorEastAsia" w:hAnsiTheme="minorEastAsia" w:eastAsiaTheme="minorEastAsia" w:cstheme="minorEastAsia"/>
          <w:b/>
          <w:bCs/>
          <w:color w:val="auto"/>
          <w:sz w:val="44"/>
          <w:szCs w:val="44"/>
        </w:rPr>
        <w:t>力学计量检定校准</w:t>
      </w:r>
    </w:p>
    <w:p w14:paraId="46C8E898">
      <w:pPr>
        <w:spacing w:line="360" w:lineRule="auto"/>
        <w:jc w:val="center"/>
        <w:rPr>
          <w:rFonts w:hint="eastAsia" w:asciiTheme="minorEastAsia" w:hAnsiTheme="minorEastAsia" w:eastAsiaTheme="minorEastAsia" w:cstheme="minorEastAsia"/>
          <w:b/>
          <w:bCs/>
          <w:color w:val="auto"/>
          <w:sz w:val="44"/>
          <w:szCs w:val="44"/>
          <w:lang w:eastAsia="zh-CN"/>
        </w:rPr>
      </w:pPr>
      <w:r>
        <w:rPr>
          <w:rFonts w:hint="eastAsia" w:asciiTheme="minorEastAsia" w:hAnsiTheme="minorEastAsia" w:eastAsiaTheme="minorEastAsia" w:cstheme="minorEastAsia"/>
          <w:b/>
          <w:bCs/>
          <w:color w:val="auto"/>
          <w:sz w:val="44"/>
          <w:szCs w:val="44"/>
        </w:rPr>
        <w:t>装置采购项目</w:t>
      </w:r>
    </w:p>
    <w:p w14:paraId="389DFE6D">
      <w:pPr>
        <w:spacing w:line="360" w:lineRule="auto"/>
        <w:jc w:val="center"/>
        <w:rPr>
          <w:rFonts w:asciiTheme="minorEastAsia" w:hAnsiTheme="minorEastAsia" w:eastAsiaTheme="minorEastAsia" w:cstheme="minorEastAsia"/>
          <w:b/>
          <w:bCs/>
          <w:color w:val="auto"/>
          <w:sz w:val="44"/>
          <w:szCs w:val="44"/>
        </w:rPr>
      </w:pPr>
    </w:p>
    <w:p w14:paraId="4FFC1CEF">
      <w:pPr>
        <w:spacing w:line="360" w:lineRule="auto"/>
        <w:jc w:val="center"/>
        <w:rPr>
          <w:rFonts w:hint="eastAsia" w:asciiTheme="minorEastAsia" w:hAnsiTheme="minorEastAsia" w:eastAsiaTheme="minorEastAsia" w:cstheme="minorEastAsia"/>
          <w:b/>
          <w:bCs/>
          <w:color w:val="auto"/>
          <w:sz w:val="44"/>
          <w:szCs w:val="44"/>
        </w:rPr>
      </w:pPr>
      <w:r>
        <w:rPr>
          <w:rFonts w:hint="eastAsia" w:asciiTheme="minorEastAsia" w:hAnsiTheme="minorEastAsia" w:eastAsiaTheme="minorEastAsia" w:cstheme="minorEastAsia"/>
          <w:b/>
          <w:bCs/>
          <w:color w:val="auto"/>
          <w:sz w:val="44"/>
          <w:szCs w:val="44"/>
        </w:rPr>
        <w:t>采购合同</w:t>
      </w:r>
    </w:p>
    <w:p w14:paraId="444FEBA4">
      <w:pPr>
        <w:spacing w:line="360" w:lineRule="auto"/>
        <w:jc w:val="center"/>
        <w:rPr>
          <w:rFonts w:hint="eastAsia" w:asciiTheme="minorEastAsia" w:hAnsiTheme="minorEastAsia" w:eastAsiaTheme="minorEastAsia" w:cstheme="minorEastAsia"/>
          <w:b/>
          <w:bCs/>
          <w:color w:val="auto"/>
          <w:sz w:val="44"/>
          <w:szCs w:val="44"/>
        </w:rPr>
      </w:pPr>
    </w:p>
    <w:p w14:paraId="197E4841">
      <w:pPr>
        <w:spacing w:line="360" w:lineRule="auto"/>
        <w:ind w:firstLine="1687" w:firstLineChars="600"/>
        <w:jc w:val="left"/>
        <w:rPr>
          <w:rFonts w:hint="eastAsia" w:asciiTheme="minorEastAsia" w:hAnsiTheme="minorEastAsia" w:eastAsiaTheme="minorEastAsia" w:cstheme="minorEastAsia"/>
          <w:b/>
          <w:bCs/>
          <w:color w:val="auto"/>
          <w:sz w:val="28"/>
          <w:szCs w:val="28"/>
          <w:lang w:eastAsia="zh-CN"/>
        </w:rPr>
      </w:pPr>
      <w:r>
        <w:rPr>
          <w:rFonts w:hint="eastAsia" w:asciiTheme="minorEastAsia" w:hAnsiTheme="minorEastAsia" w:eastAsiaTheme="minorEastAsia" w:cstheme="minorEastAsia"/>
          <w:b/>
          <w:bCs/>
          <w:color w:val="auto"/>
          <w:sz w:val="28"/>
          <w:szCs w:val="28"/>
          <w:lang w:eastAsia="zh-CN"/>
        </w:rPr>
        <w:t>编号：</w:t>
      </w:r>
    </w:p>
    <w:p w14:paraId="7A4E95F6">
      <w:pPr>
        <w:spacing w:beforeLines="50" w:line="360" w:lineRule="auto"/>
        <w:jc w:val="center"/>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Cs/>
          <w:color w:val="auto"/>
          <w:sz w:val="24"/>
        </w:rPr>
        <w:br w:type="page"/>
      </w:r>
    </w:p>
    <w:p w14:paraId="649B74FD">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合同文本</w:t>
      </w:r>
    </w:p>
    <w:p w14:paraId="12564904">
      <w:pPr>
        <w:adjustRightInd w:val="0"/>
        <w:snapToGrid w:val="0"/>
        <w:spacing w:line="360" w:lineRule="auto"/>
        <w:ind w:firstLine="482" w:firstLineChars="200"/>
        <w:jc w:val="center"/>
        <w:rPr>
          <w:rFonts w:asciiTheme="minorEastAsia" w:hAnsiTheme="minorEastAsia" w:eastAsiaTheme="minorEastAsia" w:cstheme="minorEastAsia"/>
          <w:b/>
          <w:color w:val="auto"/>
          <w:sz w:val="24"/>
        </w:rPr>
      </w:pPr>
    </w:p>
    <w:p w14:paraId="3A15653B">
      <w:pPr>
        <w:adjustRightInd w:val="0"/>
        <w:snapToGrid w:val="0"/>
        <w:spacing w:line="360" w:lineRule="auto"/>
        <w:ind w:firstLine="482" w:firstLineChars="200"/>
        <w:rPr>
          <w:rFonts w:hint="default" w:asciiTheme="minorEastAsia" w:hAnsiTheme="minorEastAsia" w:eastAsiaTheme="minorEastAsia" w:cstheme="minorEastAsia"/>
          <w:b/>
          <w:color w:val="auto"/>
          <w:sz w:val="24"/>
          <w:u w:val="single"/>
          <w:lang w:val="en-US" w:eastAsia="zh-CN"/>
        </w:rPr>
      </w:pPr>
      <w:r>
        <w:rPr>
          <w:rFonts w:hint="eastAsia" w:asciiTheme="minorEastAsia" w:hAnsiTheme="minorEastAsia" w:eastAsiaTheme="minorEastAsia" w:cstheme="minorEastAsia"/>
          <w:b/>
          <w:color w:val="auto"/>
          <w:sz w:val="24"/>
        </w:rPr>
        <w:t>采购人（全称）：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p>
    <w:p w14:paraId="6058236B">
      <w:pPr>
        <w:adjustRightInd w:val="0"/>
        <w:snapToGrid w:val="0"/>
        <w:spacing w:line="360" w:lineRule="auto"/>
        <w:ind w:firstLine="482"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b/>
          <w:color w:val="auto"/>
          <w:sz w:val="24"/>
        </w:rPr>
        <w:t>供应商（全称）：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rPr>
        <w:t xml:space="preserve"> </w:t>
      </w:r>
    </w:p>
    <w:p w14:paraId="376C19BC">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依照《中华人民共和国民法典》及其他有关法律、法规，遵循平等、自愿、公平和诚信的原则，双方就下述项目范围与相关服务事项协商一致，订立本合同。</w:t>
      </w:r>
    </w:p>
    <w:p w14:paraId="21E6394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一、项目概况</w:t>
      </w:r>
    </w:p>
    <w:p w14:paraId="53244EC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1、项目名称：</w:t>
      </w:r>
      <w:r>
        <w:rPr>
          <w:rFonts w:hint="eastAsia" w:asciiTheme="minorEastAsia" w:hAnsiTheme="minorEastAsia" w:eastAsiaTheme="minorEastAsia" w:cstheme="minorEastAsia"/>
          <w:color w:val="auto"/>
          <w:sz w:val="24"/>
          <w:u w:val="single"/>
        </w:rPr>
        <w:tab/>
      </w:r>
      <w:r>
        <w:rPr>
          <w:rFonts w:hint="eastAsia" w:asciiTheme="minorEastAsia" w:hAnsiTheme="minorEastAsia" w:eastAsiaTheme="minorEastAsia" w:cstheme="minorEastAsia"/>
          <w:color w:val="auto"/>
          <w:sz w:val="24"/>
          <w:u w:val="single"/>
          <w:lang w:val="en-US" w:eastAsia="zh-CN"/>
        </w:rPr>
        <w:t>力学计量检定校准装置采购项目</w:t>
      </w:r>
    </w:p>
    <w:p w14:paraId="665330F6">
      <w:pPr>
        <w:adjustRightInd w:val="0"/>
        <w:snapToGrid w:val="0"/>
        <w:spacing w:line="360" w:lineRule="auto"/>
        <w:ind w:firstLine="480" w:firstLineChars="200"/>
        <w:rPr>
          <w:rFonts w:asciiTheme="minorEastAsia" w:hAnsiTheme="minorEastAsia" w:eastAsiaTheme="minorEastAsia" w:cstheme="minorEastAsia"/>
          <w:color w:val="auto"/>
          <w:sz w:val="24"/>
          <w:u w:val="single"/>
        </w:rPr>
      </w:pPr>
      <w:r>
        <w:rPr>
          <w:rFonts w:hint="eastAsia" w:asciiTheme="minorEastAsia" w:hAnsiTheme="minorEastAsia" w:eastAsiaTheme="minorEastAsia" w:cstheme="minorEastAsia"/>
          <w:color w:val="auto"/>
          <w:sz w:val="24"/>
        </w:rPr>
        <w:t>2、项目地点：</w:t>
      </w:r>
      <w:r>
        <w:rPr>
          <w:rFonts w:hint="eastAsia" w:asciiTheme="minorEastAsia" w:hAnsiTheme="minorEastAsia" w:eastAsiaTheme="minorEastAsia" w:cstheme="minorEastAsia"/>
          <w:color w:val="auto"/>
          <w:sz w:val="24"/>
          <w:u w:val="single"/>
        </w:rPr>
        <w:t>采购人指定地点</w:t>
      </w:r>
    </w:p>
    <w:p w14:paraId="763079B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二、组成本合同的文件</w:t>
      </w:r>
    </w:p>
    <w:p w14:paraId="184E18FF">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w:t>
      </w:r>
      <w:r>
        <w:rPr>
          <w:rFonts w:hint="eastAsia" w:asciiTheme="minorEastAsia" w:hAnsiTheme="minorEastAsia" w:eastAsiaTheme="minorEastAsia" w:cstheme="minorEastAsia"/>
          <w:color w:val="auto"/>
          <w:sz w:val="24"/>
          <w:lang w:eastAsia="zh-CN"/>
        </w:rPr>
        <w:t>合同文本、</w:t>
      </w:r>
      <w:r>
        <w:rPr>
          <w:rFonts w:hint="eastAsia" w:asciiTheme="minorEastAsia" w:hAnsiTheme="minorEastAsia" w:eastAsiaTheme="minorEastAsia" w:cstheme="minorEastAsia"/>
          <w:color w:val="auto"/>
          <w:sz w:val="24"/>
        </w:rPr>
        <w:t>中标通知书、投标文件、招标文件、澄清、招标补充文件（或委托书）；</w:t>
      </w:r>
    </w:p>
    <w:p w14:paraId="0A377DA8">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2、相关服务建议书；</w:t>
      </w:r>
    </w:p>
    <w:p w14:paraId="15ADBC48">
      <w:pPr>
        <w:adjustRightInd w:val="0"/>
        <w:snapToGrid w:val="0"/>
        <w:spacing w:line="360" w:lineRule="auto"/>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3、附录，即：附表内相关服务的范围和内容；</w:t>
      </w:r>
    </w:p>
    <w:p w14:paraId="3ABBEC15">
      <w:pPr>
        <w:adjustRightInd w:val="0"/>
        <w:snapToGrid w:val="0"/>
        <w:spacing w:line="360" w:lineRule="auto"/>
        <w:ind w:firstLine="475" w:firstLineChars="198"/>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4、本合同签订后，双方依法签订的补充协议也是本合同文件的组成部分。</w:t>
      </w:r>
    </w:p>
    <w:p w14:paraId="7201CB23">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三、合同价款</w:t>
      </w:r>
    </w:p>
    <w:p w14:paraId="48FC96FC">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1、合同金额（大写）：</w:t>
      </w:r>
      <w:r>
        <w:rPr>
          <w:rFonts w:hint="eastAsia" w:asciiTheme="minorEastAsia" w:hAnsiTheme="minorEastAsia" w:eastAsiaTheme="minorEastAsia" w:cstheme="minorEastAsia"/>
          <w:color w:val="auto"/>
          <w:sz w:val="24"/>
          <w:u w:val="single"/>
        </w:rPr>
        <w:t xml:space="preserve"> </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u w:val="single"/>
          <w:lang w:eastAsia="zh-CN"/>
        </w:rPr>
        <w:t>整</w:t>
      </w:r>
      <w:r>
        <w:rPr>
          <w:rFonts w:hint="eastAsia" w:asciiTheme="minorEastAsia" w:hAnsiTheme="minorEastAsia" w:eastAsiaTheme="minorEastAsia" w:cstheme="minorEastAsia"/>
          <w:color w:val="auto"/>
          <w:sz w:val="24"/>
        </w:rPr>
        <w:t>（¥</w:t>
      </w:r>
      <w:r>
        <w:rPr>
          <w:rFonts w:hint="eastAsia" w:asciiTheme="minorEastAsia" w:hAnsiTheme="minorEastAsia" w:eastAsiaTheme="minorEastAsia" w:cstheme="minorEastAsia"/>
          <w:color w:val="auto"/>
          <w:sz w:val="24"/>
          <w:u w:val="single"/>
          <w:lang w:val="en-US" w:eastAsia="zh-CN"/>
        </w:rPr>
        <w:t xml:space="preserve">         </w:t>
      </w:r>
      <w:r>
        <w:rPr>
          <w:rFonts w:hint="eastAsia" w:asciiTheme="minorEastAsia" w:hAnsiTheme="minorEastAsia" w:eastAsiaTheme="minorEastAsia" w:cstheme="minorEastAsia"/>
          <w:color w:val="auto"/>
          <w:sz w:val="24"/>
        </w:rPr>
        <w:t>）；</w:t>
      </w:r>
    </w:p>
    <w:p w14:paraId="193A74B2">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2、合同价格即中标价，供应商完成所要求的产品、服务且验收合格的所有费用，包括但不限于设备费、运输费、保险费、安装调试费、检定/校准费、仓储保管费、培训费、验收费等其他一切相关费用；</w:t>
      </w:r>
    </w:p>
    <w:p w14:paraId="5C0F78DA">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3、合同价格为含税价，供应商提供产品所发生的一切税（包括增值税）费等都已包含于合同价款中；</w:t>
      </w:r>
    </w:p>
    <w:p w14:paraId="3C803729">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4、该合同总价不受市场价格变化或实际工作量变化的影响，在合同有效期不做任何调整，供应商自行承担所供货物的市场价格变化。</w:t>
      </w:r>
    </w:p>
    <w:p w14:paraId="51051D77">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四、期限</w:t>
      </w:r>
    </w:p>
    <w:p w14:paraId="7793C044">
      <w:pPr>
        <w:pStyle w:val="11"/>
        <w:ind w:firstLine="480" w:firstLineChars="200"/>
        <w:jc w:val="both"/>
        <w:rPr>
          <w:rFonts w:hint="eastAsia"/>
        </w:rPr>
      </w:pPr>
      <w:r>
        <w:rPr>
          <w:rFonts w:hint="eastAsia"/>
        </w:rPr>
        <w:t>交货期自签订合同之日起</w:t>
      </w:r>
      <w:r>
        <w:rPr>
          <w:rFonts w:hint="eastAsia"/>
          <w:u w:val="single"/>
          <w:lang w:val="en-US" w:eastAsia="zh-CN"/>
        </w:rPr>
        <w:t xml:space="preserve">     </w:t>
      </w:r>
      <w:r>
        <w:rPr>
          <w:rFonts w:hint="eastAsia"/>
        </w:rPr>
        <w:t>日历天。</w:t>
      </w:r>
    </w:p>
    <w:p w14:paraId="45420920">
      <w:pPr>
        <w:pStyle w:val="11"/>
        <w:ind w:firstLine="480" w:firstLineChars="200"/>
        <w:jc w:val="both"/>
        <w:rPr>
          <w:b/>
          <w:bCs w:val="0"/>
        </w:rPr>
      </w:pPr>
      <w:r>
        <w:rPr>
          <w:rFonts w:hint="eastAsia"/>
        </w:rPr>
        <w:t>质保期自最终验收合格之日</w:t>
      </w:r>
      <w:r>
        <w:rPr>
          <w:rFonts w:hint="eastAsia"/>
          <w:lang w:eastAsia="zh-CN"/>
        </w:rPr>
        <w:t>算，</w:t>
      </w:r>
      <w:r>
        <w:rPr>
          <w:rFonts w:hint="eastAsia" w:cstheme="minorEastAsia"/>
          <w:sz w:val="24"/>
          <w:szCs w:val="24"/>
          <w:lang w:eastAsia="zh-CN"/>
        </w:rPr>
        <w:t>质保期</w:t>
      </w:r>
      <w:r>
        <w:rPr>
          <w:rFonts w:hint="eastAsia" w:cstheme="minorEastAsia"/>
          <w:sz w:val="24"/>
          <w:szCs w:val="24"/>
          <w:u w:val="single"/>
          <w:lang w:val="en-US" w:eastAsia="zh-CN"/>
        </w:rPr>
        <w:t xml:space="preserve">     </w:t>
      </w:r>
      <w:r>
        <w:rPr>
          <w:rFonts w:hint="eastAsia" w:cstheme="minorEastAsia"/>
          <w:sz w:val="24"/>
          <w:szCs w:val="24"/>
          <w:lang w:val="en-US" w:eastAsia="zh-CN"/>
        </w:rPr>
        <w:t>年</w:t>
      </w:r>
      <w:r>
        <w:rPr>
          <w:rFonts w:hint="eastAsia"/>
        </w:rPr>
        <w:t>。</w:t>
      </w:r>
    </w:p>
    <w:p w14:paraId="5F3876A7">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五、</w:t>
      </w:r>
      <w:r>
        <w:rPr>
          <w:rFonts w:hint="eastAsia" w:asciiTheme="minorEastAsia" w:hAnsiTheme="minorEastAsia" w:eastAsiaTheme="minorEastAsia" w:cstheme="minorEastAsia"/>
          <w:b/>
          <w:color w:val="auto"/>
          <w:sz w:val="24"/>
        </w:rPr>
        <w:t>结算</w:t>
      </w:r>
      <w:r>
        <w:rPr>
          <w:rFonts w:asciiTheme="minorEastAsia" w:hAnsiTheme="minorEastAsia" w:eastAsiaTheme="minorEastAsia" w:cstheme="minorEastAsia"/>
          <w:b/>
          <w:color w:val="auto"/>
          <w:sz w:val="24"/>
        </w:rPr>
        <w:t>方式</w:t>
      </w:r>
    </w:p>
    <w:p w14:paraId="15B7DBC2">
      <w:pPr>
        <w:pStyle w:val="11"/>
        <w:ind w:firstLine="480" w:firstLineChars="200"/>
        <w:jc w:val="left"/>
      </w:pPr>
      <w:r>
        <w:rPr>
          <w:rFonts w:hint="eastAsia"/>
        </w:rPr>
        <w:t>1、结算单位：银行转账，由采购人以人民币负责结算。验收时，供应商必须开具符合采购人要求的全额发票给采购人；</w:t>
      </w:r>
    </w:p>
    <w:p w14:paraId="36EBEB3E">
      <w:pPr>
        <w:pStyle w:val="11"/>
        <w:jc w:val="left"/>
      </w:pPr>
      <w:r>
        <w:rPr>
          <w:rFonts w:hint="eastAsia"/>
        </w:rPr>
        <w:t xml:space="preserve">    2、</w:t>
      </w:r>
      <w:r>
        <w:t>合同签订之后五个工作日内，供应商按采购人指定账户交纳合同总价款的5%</w:t>
      </w:r>
      <w:r>
        <w:rPr>
          <w:rFonts w:hint="eastAsia"/>
        </w:rPr>
        <w:t>（即</w:t>
      </w:r>
      <w:r>
        <w:rPr>
          <w:rFonts w:hint="eastAsia"/>
          <w:u w:val="single"/>
          <w:lang w:val="en-US" w:eastAsia="zh-CN"/>
        </w:rPr>
        <w:t xml:space="preserve">    </w:t>
      </w:r>
      <w:r>
        <w:rPr>
          <w:rFonts w:hint="eastAsia"/>
        </w:rPr>
        <w:t>元，大写：</w:t>
      </w:r>
      <w:r>
        <w:rPr>
          <w:rFonts w:hint="eastAsia"/>
          <w:u w:val="single"/>
          <w:lang w:val="en-US" w:eastAsia="zh-CN"/>
        </w:rPr>
        <w:t xml:space="preserve">    </w:t>
      </w:r>
      <w:r>
        <w:rPr>
          <w:rFonts w:hint="eastAsia"/>
          <w:lang w:eastAsia="zh-CN"/>
        </w:rPr>
        <w:t>元整</w:t>
      </w:r>
      <w:r>
        <w:rPr>
          <w:rFonts w:hint="eastAsia"/>
        </w:rPr>
        <w:t>）</w:t>
      </w:r>
      <w:r>
        <w:t>作为履约保证金。履约保证金到账后</w:t>
      </w:r>
      <w:r>
        <w:rPr>
          <w:rFonts w:hint="eastAsia"/>
          <w:lang w:val="en-US" w:eastAsia="zh-CN"/>
        </w:rPr>
        <w:t>30</w:t>
      </w:r>
      <w:r>
        <w:t>日内，采购人一次性向供应商支付合同总价款的</w:t>
      </w:r>
      <w:r>
        <w:rPr>
          <w:rFonts w:hint="eastAsia"/>
          <w:lang w:val="en-US" w:eastAsia="zh-CN"/>
        </w:rPr>
        <w:t>4</w:t>
      </w:r>
      <w:r>
        <w:t>0%</w:t>
      </w:r>
      <w:r>
        <w:rPr>
          <w:rFonts w:hint="eastAsia"/>
        </w:rPr>
        <w:t>（即</w:t>
      </w:r>
      <w:r>
        <w:rPr>
          <w:rFonts w:hint="eastAsia"/>
          <w:lang w:val="en-US" w:eastAsia="zh-CN"/>
        </w:rPr>
        <w:t xml:space="preserve">     </w:t>
      </w:r>
      <w:r>
        <w:rPr>
          <w:rFonts w:hint="eastAsia"/>
        </w:rPr>
        <w:t>元，大写：</w:t>
      </w:r>
      <w:r>
        <w:rPr>
          <w:rFonts w:hint="eastAsia"/>
          <w:lang w:val="en-US" w:eastAsia="zh-CN"/>
        </w:rPr>
        <w:t xml:space="preserve">    </w:t>
      </w:r>
      <w:r>
        <w:rPr>
          <w:rFonts w:hint="eastAsia"/>
          <w:lang w:eastAsia="zh-CN"/>
        </w:rPr>
        <w:t>整</w:t>
      </w:r>
      <w:r>
        <w:rPr>
          <w:rFonts w:hint="eastAsia"/>
        </w:rPr>
        <w:t>）</w:t>
      </w:r>
      <w:r>
        <w:t>作为预付款</w:t>
      </w:r>
      <w:r>
        <w:rPr>
          <w:rFonts w:hint="eastAsia"/>
        </w:rPr>
        <w:t>；</w:t>
      </w:r>
    </w:p>
    <w:p w14:paraId="31B5ED5D">
      <w:pPr>
        <w:pStyle w:val="11"/>
        <w:jc w:val="left"/>
      </w:pPr>
      <w:r>
        <w:rPr>
          <w:rFonts w:hint="eastAsia"/>
        </w:rPr>
        <w:t xml:space="preserve">    3、</w:t>
      </w:r>
      <w:r>
        <w:t>通过最终验收合格后</w:t>
      </w:r>
      <w:r>
        <w:rPr>
          <w:rFonts w:hint="eastAsia"/>
          <w:lang w:eastAsia="zh-CN"/>
        </w:rPr>
        <w:t>，</w:t>
      </w:r>
      <w:r>
        <w:t>采购人向供应商支付全部剩余</w:t>
      </w:r>
      <w:r>
        <w:rPr>
          <w:rFonts w:hint="eastAsia"/>
          <w:lang w:val="en-US" w:eastAsia="zh-CN"/>
        </w:rPr>
        <w:t>6</w:t>
      </w:r>
      <w:r>
        <w:t>0%的合同总价款</w:t>
      </w:r>
      <w:r>
        <w:rPr>
          <w:rFonts w:hint="eastAsia"/>
        </w:rPr>
        <w:t>（即</w:t>
      </w:r>
      <w:r>
        <w:rPr>
          <w:rFonts w:hint="eastAsia"/>
          <w:u w:val="single"/>
          <w:lang w:val="en-US" w:eastAsia="zh-CN"/>
        </w:rPr>
        <w:t xml:space="preserve">     </w:t>
      </w:r>
      <w:r>
        <w:rPr>
          <w:rFonts w:hint="eastAsia"/>
          <w:u w:val="none"/>
        </w:rPr>
        <w:t>元</w:t>
      </w:r>
      <w:r>
        <w:rPr>
          <w:rFonts w:hint="eastAsia"/>
        </w:rPr>
        <w:t>，大写：</w:t>
      </w:r>
      <w:r>
        <w:rPr>
          <w:rFonts w:hint="eastAsia"/>
          <w:u w:val="single"/>
          <w:lang w:val="en-US" w:eastAsia="zh-CN"/>
        </w:rPr>
        <w:t xml:space="preserve">      </w:t>
      </w:r>
      <w:r>
        <w:rPr>
          <w:rFonts w:hint="eastAsia"/>
          <w:lang w:eastAsia="zh-CN"/>
        </w:rPr>
        <w:t>元整</w:t>
      </w:r>
      <w:r>
        <w:rPr>
          <w:rFonts w:hint="eastAsia"/>
        </w:rPr>
        <w:t>）</w:t>
      </w:r>
      <w:r>
        <w:t>，</w:t>
      </w:r>
      <w:r>
        <w:rPr>
          <w:rFonts w:hint="eastAsia"/>
          <w:lang w:val="en-US" w:eastAsia="zh-CN"/>
        </w:rPr>
        <w:t>根据供应商履约情况，</w:t>
      </w:r>
      <w:r>
        <w:t>采购人将履约保证金无息退还供应商</w:t>
      </w:r>
      <w:r>
        <w:rPr>
          <w:rFonts w:hint="eastAsia"/>
        </w:rPr>
        <w:t>；</w:t>
      </w:r>
    </w:p>
    <w:p w14:paraId="0A0B8B24">
      <w:pPr>
        <w:pStyle w:val="11"/>
        <w:jc w:val="left"/>
      </w:pPr>
      <w:r>
        <w:t>支付方式：银行转账，采购人将应付供应商的款项付款至下列指定账户：</w:t>
      </w:r>
    </w:p>
    <w:p w14:paraId="441E25C8">
      <w:pPr>
        <w:pStyle w:val="11"/>
        <w:jc w:val="left"/>
        <w:rPr>
          <w:rFonts w:hint="default" w:eastAsiaTheme="minorEastAsia"/>
          <w:sz w:val="24"/>
          <w:szCs w:val="24"/>
          <w:lang w:val="en-US" w:eastAsia="zh-CN"/>
        </w:rPr>
      </w:pPr>
      <w:r>
        <w:t>单    位：</w:t>
      </w:r>
      <w:r>
        <w:rPr>
          <w:sz w:val="24"/>
          <w:szCs w:val="24"/>
          <w:u w:val="single"/>
        </w:rPr>
        <w:t xml:space="preserve"> </w:t>
      </w:r>
      <w:r>
        <w:rPr>
          <w:rFonts w:hint="eastAsia" w:ascii="宋体" w:hAnsi="宋体" w:eastAsia="宋体" w:cs="宋体"/>
          <w:sz w:val="24"/>
          <w:szCs w:val="24"/>
          <w:u w:val="single"/>
          <w:lang w:val="en-US" w:eastAsia="zh-CN"/>
        </w:rPr>
        <w:t xml:space="preserve">                  </w:t>
      </w:r>
    </w:p>
    <w:p w14:paraId="1D2BB611">
      <w:pPr>
        <w:pStyle w:val="11"/>
        <w:jc w:val="left"/>
        <w:rPr>
          <w:rFonts w:hint="eastAsia" w:ascii="宋体" w:hAnsi="宋体" w:eastAsia="宋体" w:cs="宋体"/>
          <w:sz w:val="24"/>
          <w:szCs w:val="24"/>
          <w:u w:val="single"/>
          <w:lang w:val="en-US" w:eastAsia="zh-CN"/>
        </w:rPr>
      </w:pPr>
      <w:r>
        <w:rPr>
          <w:sz w:val="24"/>
          <w:szCs w:val="24"/>
        </w:rPr>
        <w:t>地    址：</w:t>
      </w:r>
      <w:r>
        <w:rPr>
          <w:sz w:val="24"/>
          <w:szCs w:val="24"/>
          <w:u w:val="single"/>
        </w:rPr>
        <w:t xml:space="preserve"> </w:t>
      </w:r>
      <w:r>
        <w:rPr>
          <w:rFonts w:hint="eastAsia" w:ascii="宋体" w:hAnsi="宋体" w:eastAsia="宋体" w:cs="宋体"/>
          <w:sz w:val="24"/>
          <w:szCs w:val="24"/>
          <w:u w:val="single"/>
          <w:lang w:val="en-US" w:eastAsia="zh-CN"/>
        </w:rPr>
        <w:t xml:space="preserve">                  </w:t>
      </w:r>
    </w:p>
    <w:p w14:paraId="2ED38C42">
      <w:pPr>
        <w:pStyle w:val="11"/>
        <w:jc w:val="left"/>
        <w:rPr>
          <w:rFonts w:hint="default" w:eastAsiaTheme="minorEastAsia"/>
          <w:sz w:val="24"/>
          <w:szCs w:val="24"/>
          <w:lang w:val="en-US" w:eastAsia="zh-CN"/>
        </w:rPr>
      </w:pPr>
      <w:r>
        <w:rPr>
          <w:sz w:val="24"/>
          <w:szCs w:val="24"/>
        </w:rPr>
        <w:t>税    号：</w:t>
      </w:r>
      <w:r>
        <w:rPr>
          <w:sz w:val="24"/>
          <w:szCs w:val="24"/>
          <w:u w:val="single"/>
        </w:rPr>
        <w:t xml:space="preserve"> </w:t>
      </w:r>
      <w:r>
        <w:rPr>
          <w:rFonts w:hint="eastAsia" w:ascii="宋体" w:hAnsi="宋体" w:eastAsia="宋体" w:cs="宋体"/>
          <w:sz w:val="24"/>
          <w:szCs w:val="24"/>
          <w:u w:val="single"/>
          <w:lang w:val="en-US" w:eastAsia="zh-CN"/>
        </w:rPr>
        <w:t xml:space="preserve"> </w:t>
      </w:r>
      <w:r>
        <w:rPr>
          <w:sz w:val="24"/>
          <w:szCs w:val="24"/>
          <w:u w:val="single"/>
        </w:rPr>
        <w:t xml:space="preserve">              </w:t>
      </w:r>
      <w:r>
        <w:rPr>
          <w:rFonts w:hint="eastAsia"/>
          <w:sz w:val="24"/>
          <w:szCs w:val="24"/>
          <w:u w:val="single"/>
          <w:lang w:val="en-US" w:eastAsia="zh-CN"/>
        </w:rPr>
        <w:t xml:space="preserve">    </w:t>
      </w:r>
    </w:p>
    <w:p w14:paraId="4EF54176">
      <w:pPr>
        <w:pStyle w:val="11"/>
        <w:jc w:val="left"/>
        <w:rPr>
          <w:rFonts w:hint="eastAsia"/>
          <w:sz w:val="24"/>
          <w:szCs w:val="24"/>
          <w:u w:val="single"/>
          <w:lang w:val="en-US" w:eastAsia="zh-CN"/>
        </w:rPr>
      </w:pPr>
      <w:r>
        <w:rPr>
          <w:sz w:val="24"/>
          <w:szCs w:val="24"/>
        </w:rPr>
        <w:t>开户银行：</w:t>
      </w:r>
      <w:r>
        <w:rPr>
          <w:sz w:val="24"/>
          <w:szCs w:val="24"/>
          <w:u w:val="single"/>
        </w:rPr>
        <w:t xml:space="preserve"> </w:t>
      </w:r>
      <w:r>
        <w:rPr>
          <w:rFonts w:hint="eastAsia" w:ascii="宋体" w:hAnsi="宋体" w:eastAsia="宋体" w:cs="宋体"/>
          <w:sz w:val="24"/>
          <w:szCs w:val="24"/>
          <w:u w:val="single"/>
          <w:lang w:val="en-US" w:eastAsia="zh-CN"/>
        </w:rPr>
        <w:t xml:space="preserve"> </w:t>
      </w:r>
      <w:r>
        <w:rPr>
          <w:sz w:val="24"/>
          <w:szCs w:val="24"/>
          <w:u w:val="single"/>
        </w:rPr>
        <w:t xml:space="preserve">                 </w:t>
      </w:r>
      <w:r>
        <w:rPr>
          <w:rFonts w:hint="eastAsia"/>
          <w:sz w:val="24"/>
          <w:szCs w:val="24"/>
          <w:u w:val="single"/>
          <w:lang w:val="en-US" w:eastAsia="zh-CN"/>
        </w:rPr>
        <w:t xml:space="preserve"> </w:t>
      </w:r>
    </w:p>
    <w:p w14:paraId="2F8D81C2">
      <w:pPr>
        <w:pStyle w:val="11"/>
        <w:jc w:val="left"/>
        <w:rPr>
          <w:rFonts w:hint="eastAsia"/>
          <w:sz w:val="24"/>
          <w:szCs w:val="24"/>
          <w:u w:val="single"/>
          <w:lang w:val="en-US" w:eastAsia="zh-CN"/>
        </w:rPr>
      </w:pPr>
      <w:r>
        <w:rPr>
          <w:sz w:val="24"/>
          <w:szCs w:val="24"/>
        </w:rPr>
        <w:t>账    号：</w:t>
      </w:r>
      <w:r>
        <w:rPr>
          <w:sz w:val="24"/>
          <w:szCs w:val="24"/>
          <w:u w:val="single"/>
        </w:rPr>
        <w:t xml:space="preserve"> </w:t>
      </w:r>
      <w:r>
        <w:rPr>
          <w:rFonts w:hint="eastAsia" w:ascii="宋体" w:hAnsi="宋体" w:eastAsia="宋体" w:cs="宋体"/>
          <w:sz w:val="24"/>
          <w:szCs w:val="24"/>
          <w:u w:val="single"/>
          <w:lang w:val="en-US" w:eastAsia="zh-CN"/>
        </w:rPr>
        <w:t xml:space="preserve"> </w:t>
      </w:r>
      <w:r>
        <w:rPr>
          <w:sz w:val="24"/>
          <w:szCs w:val="24"/>
          <w:u w:val="single"/>
        </w:rPr>
        <w:t xml:space="preserve">                    </w:t>
      </w:r>
      <w:r>
        <w:rPr>
          <w:rFonts w:hint="eastAsia"/>
          <w:sz w:val="24"/>
          <w:szCs w:val="24"/>
          <w:u w:val="single"/>
          <w:lang w:val="en-US" w:eastAsia="zh-CN"/>
        </w:rPr>
        <w:t xml:space="preserve"> </w:t>
      </w:r>
    </w:p>
    <w:p w14:paraId="0F269C0B">
      <w:pPr>
        <w:pStyle w:val="11"/>
        <w:jc w:val="left"/>
      </w:pPr>
      <w:r>
        <w:t>履约保证金支付方式：银行转账，供应商支付履约保证金至下列指定账户：</w:t>
      </w:r>
    </w:p>
    <w:p w14:paraId="42ACB449">
      <w:pPr>
        <w:pStyle w:val="11"/>
        <w:jc w:val="left"/>
        <w:rPr>
          <w:u w:val="single"/>
        </w:rPr>
      </w:pPr>
      <w:r>
        <w:rPr>
          <w:rFonts w:hint="eastAsia"/>
        </w:rPr>
        <w:t>账户名称</w:t>
      </w:r>
      <w:r>
        <w:t>：</w:t>
      </w:r>
      <w:r>
        <w:rPr>
          <w:u w:val="single"/>
        </w:rPr>
        <w:t xml:space="preserve"> </w:t>
      </w:r>
      <w:r>
        <w:rPr>
          <w:rFonts w:hint="eastAsia"/>
          <w:u w:val="single"/>
          <w:lang w:val="en-US" w:eastAsia="zh-CN"/>
        </w:rPr>
        <w:t xml:space="preserve">                                         </w:t>
      </w:r>
      <w:r>
        <w:rPr>
          <w:rFonts w:hint="eastAsia"/>
          <w:u w:val="single"/>
        </w:rPr>
        <w:t xml:space="preserve"> </w:t>
      </w:r>
    </w:p>
    <w:p w14:paraId="6DAAE2A0">
      <w:pPr>
        <w:pStyle w:val="11"/>
        <w:jc w:val="left"/>
        <w:rPr>
          <w:rFonts w:hint="eastAsia" w:eastAsiaTheme="minorEastAsia"/>
          <w:lang w:val="en-US" w:eastAsia="zh-CN"/>
        </w:rPr>
      </w:pPr>
      <w:r>
        <w:t>开户银行：</w:t>
      </w:r>
      <w:r>
        <w:rPr>
          <w:u w:val="single"/>
        </w:rPr>
        <w:t xml:space="preserve"> </w:t>
      </w:r>
      <w:r>
        <w:rPr>
          <w:rFonts w:hint="eastAsia"/>
          <w:u w:val="single"/>
          <w:lang w:val="en-US" w:eastAsia="zh-CN"/>
        </w:rPr>
        <w:t xml:space="preserve">                                        </w:t>
      </w:r>
      <w:r>
        <w:rPr>
          <w:u w:val="single"/>
        </w:rPr>
        <w:t xml:space="preserve"> </w:t>
      </w:r>
      <w:r>
        <w:rPr>
          <w:rFonts w:hint="eastAsia"/>
          <w:u w:val="single"/>
          <w:lang w:val="en-US" w:eastAsia="zh-CN"/>
        </w:rPr>
        <w:t xml:space="preserve"> </w:t>
      </w:r>
    </w:p>
    <w:p w14:paraId="2E203426">
      <w:pPr>
        <w:pStyle w:val="11"/>
        <w:jc w:val="left"/>
      </w:pPr>
      <w:r>
        <w:t>账    号：</w:t>
      </w:r>
      <w:r>
        <w:rPr>
          <w:u w:val="single"/>
        </w:rPr>
        <w:t xml:space="preserve"> </w:t>
      </w:r>
      <w:r>
        <w:rPr>
          <w:rFonts w:hint="eastAsia"/>
          <w:u w:val="single"/>
          <w:lang w:val="en-US" w:eastAsia="zh-CN"/>
        </w:rPr>
        <w:t xml:space="preserve">                                 </w:t>
      </w:r>
      <w:r>
        <w:rPr>
          <w:u w:val="single"/>
        </w:rPr>
        <w:t xml:space="preserve">         </w:t>
      </w:r>
    </w:p>
    <w:p w14:paraId="077243E7">
      <w:pPr>
        <w:pStyle w:val="11"/>
        <w:jc w:val="both"/>
        <w:outlineLvl w:val="0"/>
        <w:rPr>
          <w:b/>
          <w:bCs w:val="0"/>
        </w:rPr>
      </w:pPr>
      <w:r>
        <w:rPr>
          <w:rFonts w:hint="eastAsia"/>
          <w:b/>
          <w:bCs w:val="0"/>
        </w:rPr>
        <w:t>六、检定/校准/检测</w:t>
      </w:r>
    </w:p>
    <w:p w14:paraId="100347CB">
      <w:pPr>
        <w:pStyle w:val="11"/>
        <w:ind w:firstLine="480" w:firstLineChars="200"/>
        <w:jc w:val="both"/>
      </w:pPr>
      <w:r>
        <w:rPr>
          <w:rFonts w:hint="eastAsia"/>
        </w:rPr>
        <w:t>供应商在整机验收时需向采购人提供采购人要求的设备计量检定</w:t>
      </w:r>
      <w:r>
        <w:rPr>
          <w:rFonts w:hint="eastAsia"/>
          <w:lang w:eastAsia="zh-CN"/>
        </w:rPr>
        <w:t>、</w:t>
      </w:r>
      <w:r>
        <w:rPr>
          <w:rFonts w:hint="eastAsia"/>
          <w:lang w:val="en-US" w:eastAsia="zh-CN"/>
        </w:rPr>
        <w:t>校准</w:t>
      </w:r>
      <w:r>
        <w:rPr>
          <w:rFonts w:hint="eastAsia"/>
        </w:rPr>
        <w:t>证书等资料，由此产生的所有费用由供应商承担。（除无需溯源的设备）</w:t>
      </w:r>
    </w:p>
    <w:p w14:paraId="66003CFE">
      <w:pPr>
        <w:pStyle w:val="11"/>
        <w:jc w:val="both"/>
        <w:outlineLvl w:val="0"/>
        <w:rPr>
          <w:b/>
        </w:rPr>
      </w:pPr>
      <w:r>
        <w:rPr>
          <w:rFonts w:hint="eastAsia"/>
          <w:b/>
        </w:rPr>
        <w:t>七、内容及要求</w:t>
      </w:r>
    </w:p>
    <w:p w14:paraId="7B7F35B9">
      <w:pPr>
        <w:pStyle w:val="11"/>
        <w:ind w:firstLine="480" w:firstLineChars="200"/>
        <w:jc w:val="both"/>
        <w:rPr>
          <w:bCs w:val="0"/>
        </w:rPr>
      </w:pPr>
      <w:r>
        <w:rPr>
          <w:rFonts w:hint="eastAsia"/>
          <w:bCs w:val="0"/>
        </w:rPr>
        <w:t>即交付的产品、服务内容、数量与投标文件、招标文件等所指明的，或者与本合同所指明的产品、服务内容相一致。</w:t>
      </w:r>
    </w:p>
    <w:p w14:paraId="7B354490">
      <w:pPr>
        <w:pStyle w:val="11"/>
        <w:jc w:val="center"/>
        <w:rPr>
          <w:bCs w:val="0"/>
        </w:rPr>
      </w:pPr>
      <w:r>
        <w:rPr>
          <w:rFonts w:hint="eastAsia"/>
          <w:bCs w:val="0"/>
        </w:rPr>
        <w:t>供货内容一览表</w:t>
      </w:r>
    </w:p>
    <w:tbl>
      <w:tblPr>
        <w:tblStyle w:val="9"/>
        <w:tblW w:w="91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48"/>
        <w:gridCol w:w="1096"/>
        <w:gridCol w:w="1161"/>
        <w:gridCol w:w="1274"/>
        <w:gridCol w:w="1769"/>
        <w:gridCol w:w="608"/>
        <w:gridCol w:w="1107"/>
        <w:gridCol w:w="554"/>
        <w:gridCol w:w="1019"/>
      </w:tblGrid>
      <w:tr w14:paraId="1789D8A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A7E6E64">
            <w:pPr>
              <w:pStyle w:val="11"/>
              <w:jc w:val="center"/>
              <w:rPr>
                <w:bCs w:val="0"/>
              </w:rPr>
            </w:pPr>
            <w:r>
              <w:rPr>
                <w:rFonts w:hint="eastAsia"/>
                <w:bCs w:val="0"/>
              </w:rPr>
              <w:t>序号</w:t>
            </w:r>
          </w:p>
        </w:tc>
        <w:tc>
          <w:tcPr>
            <w:tcW w:w="1096" w:type="dxa"/>
            <w:vAlign w:val="center"/>
          </w:tcPr>
          <w:p w14:paraId="5834FB06">
            <w:pPr>
              <w:pStyle w:val="11"/>
              <w:jc w:val="center"/>
              <w:rPr>
                <w:bCs w:val="0"/>
              </w:rPr>
            </w:pPr>
            <w:r>
              <w:rPr>
                <w:rFonts w:hint="eastAsia"/>
                <w:bCs w:val="0"/>
              </w:rPr>
              <w:t>名称</w:t>
            </w:r>
          </w:p>
        </w:tc>
        <w:tc>
          <w:tcPr>
            <w:tcW w:w="1161" w:type="dxa"/>
            <w:vAlign w:val="center"/>
          </w:tcPr>
          <w:p w14:paraId="090F21B9">
            <w:pPr>
              <w:pStyle w:val="11"/>
              <w:jc w:val="center"/>
              <w:rPr>
                <w:bCs w:val="0"/>
              </w:rPr>
            </w:pPr>
            <w:r>
              <w:rPr>
                <w:rFonts w:hint="eastAsia"/>
                <w:bCs w:val="0"/>
              </w:rPr>
              <w:t>品牌</w:t>
            </w:r>
          </w:p>
        </w:tc>
        <w:tc>
          <w:tcPr>
            <w:tcW w:w="1274" w:type="dxa"/>
            <w:tcBorders>
              <w:right w:val="single" w:color="auto" w:sz="4" w:space="0"/>
            </w:tcBorders>
            <w:vAlign w:val="center"/>
          </w:tcPr>
          <w:p w14:paraId="6D0E6182">
            <w:pPr>
              <w:pStyle w:val="11"/>
              <w:jc w:val="center"/>
              <w:rPr>
                <w:bCs w:val="0"/>
              </w:rPr>
            </w:pPr>
            <w:bookmarkStart w:id="0" w:name="_Toc27392"/>
            <w:r>
              <w:rPr>
                <w:rFonts w:hint="eastAsia"/>
                <w:bCs w:val="0"/>
              </w:rPr>
              <w:t>规格型号</w:t>
            </w:r>
            <w:bookmarkEnd w:id="0"/>
          </w:p>
        </w:tc>
        <w:tc>
          <w:tcPr>
            <w:tcW w:w="1769" w:type="dxa"/>
            <w:tcBorders>
              <w:left w:val="single" w:color="auto" w:sz="4" w:space="0"/>
            </w:tcBorders>
            <w:vAlign w:val="center"/>
          </w:tcPr>
          <w:p w14:paraId="4ED8282F">
            <w:pPr>
              <w:pStyle w:val="11"/>
              <w:jc w:val="center"/>
              <w:rPr>
                <w:bCs w:val="0"/>
              </w:rPr>
            </w:pPr>
            <w:r>
              <w:rPr>
                <w:rFonts w:hint="eastAsia"/>
                <w:bCs w:val="0"/>
              </w:rPr>
              <w:t>生产厂家</w:t>
            </w:r>
          </w:p>
        </w:tc>
        <w:tc>
          <w:tcPr>
            <w:tcW w:w="608" w:type="dxa"/>
            <w:vAlign w:val="center"/>
          </w:tcPr>
          <w:p w14:paraId="6F471FBB">
            <w:pPr>
              <w:pStyle w:val="11"/>
              <w:jc w:val="center"/>
              <w:rPr>
                <w:bCs w:val="0"/>
              </w:rPr>
            </w:pPr>
            <w:r>
              <w:rPr>
                <w:rFonts w:hint="eastAsia"/>
                <w:bCs w:val="0"/>
              </w:rPr>
              <w:t>产地</w:t>
            </w:r>
          </w:p>
        </w:tc>
        <w:tc>
          <w:tcPr>
            <w:tcW w:w="1107" w:type="dxa"/>
            <w:tcBorders>
              <w:right w:val="single" w:color="auto" w:sz="4" w:space="0"/>
            </w:tcBorders>
            <w:vAlign w:val="center"/>
          </w:tcPr>
          <w:p w14:paraId="0C2B9FF6">
            <w:pPr>
              <w:pStyle w:val="11"/>
              <w:jc w:val="center"/>
              <w:rPr>
                <w:bCs w:val="0"/>
              </w:rPr>
            </w:pPr>
            <w:bookmarkStart w:id="1" w:name="_Toc14127"/>
            <w:r>
              <w:rPr>
                <w:rFonts w:hint="eastAsia"/>
                <w:bCs w:val="0"/>
              </w:rPr>
              <w:t>单价</w:t>
            </w:r>
            <w:bookmarkEnd w:id="1"/>
          </w:p>
        </w:tc>
        <w:tc>
          <w:tcPr>
            <w:tcW w:w="554" w:type="dxa"/>
            <w:tcBorders>
              <w:left w:val="single" w:color="auto" w:sz="4" w:space="0"/>
              <w:right w:val="single" w:color="auto" w:sz="4" w:space="0"/>
            </w:tcBorders>
            <w:vAlign w:val="center"/>
          </w:tcPr>
          <w:p w14:paraId="0C188ECB">
            <w:pPr>
              <w:pStyle w:val="11"/>
              <w:jc w:val="center"/>
              <w:rPr>
                <w:bCs w:val="0"/>
              </w:rPr>
            </w:pPr>
            <w:bookmarkStart w:id="2" w:name="_Toc31109"/>
            <w:r>
              <w:rPr>
                <w:rFonts w:hint="eastAsia"/>
                <w:bCs w:val="0"/>
              </w:rPr>
              <w:t>数量</w:t>
            </w:r>
            <w:bookmarkEnd w:id="2"/>
          </w:p>
        </w:tc>
        <w:tc>
          <w:tcPr>
            <w:tcW w:w="1019" w:type="dxa"/>
            <w:vAlign w:val="center"/>
          </w:tcPr>
          <w:p w14:paraId="55F5DEF5">
            <w:pPr>
              <w:pStyle w:val="11"/>
              <w:jc w:val="center"/>
              <w:rPr>
                <w:bCs w:val="0"/>
              </w:rPr>
            </w:pPr>
            <w:r>
              <w:rPr>
                <w:rFonts w:hint="eastAsia"/>
                <w:bCs w:val="0"/>
              </w:rPr>
              <w:t>总价</w:t>
            </w:r>
          </w:p>
        </w:tc>
      </w:tr>
      <w:tr w14:paraId="2EAB65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0ECD865">
            <w:pPr>
              <w:keepNext w:val="0"/>
              <w:keepLines w:val="0"/>
              <w:widowControl/>
              <w:suppressLineNumbers w:val="0"/>
              <w:jc w:val="center"/>
              <w:textAlignment w:val="center"/>
              <w:rPr>
                <w:bCs w:val="0"/>
              </w:rPr>
            </w:pPr>
            <w:r>
              <w:rPr>
                <w:rFonts w:hint="eastAsia" w:ascii="宋体" w:hAnsi="宋体" w:eastAsia="宋体" w:cs="宋体"/>
                <w:i w:val="0"/>
                <w:iCs w:val="0"/>
                <w:color w:val="000000"/>
                <w:kern w:val="0"/>
                <w:sz w:val="22"/>
                <w:szCs w:val="22"/>
                <w:u w:val="none"/>
                <w:lang w:val="en-US" w:eastAsia="zh-CN" w:bidi="ar"/>
              </w:rPr>
              <w:t>1</w:t>
            </w:r>
          </w:p>
        </w:tc>
        <w:tc>
          <w:tcPr>
            <w:tcW w:w="1096" w:type="dxa"/>
            <w:vAlign w:val="center"/>
          </w:tcPr>
          <w:p w14:paraId="3B1FC187">
            <w:pPr>
              <w:keepNext w:val="0"/>
              <w:keepLines w:val="0"/>
              <w:widowControl/>
              <w:suppressLineNumbers w:val="0"/>
              <w:jc w:val="center"/>
              <w:textAlignment w:val="center"/>
              <w:rPr>
                <w:bCs w:val="0"/>
              </w:rPr>
            </w:pPr>
          </w:p>
        </w:tc>
        <w:tc>
          <w:tcPr>
            <w:tcW w:w="1161" w:type="dxa"/>
            <w:vAlign w:val="center"/>
          </w:tcPr>
          <w:p w14:paraId="29126FFF">
            <w:pPr>
              <w:keepNext w:val="0"/>
              <w:keepLines w:val="0"/>
              <w:widowControl/>
              <w:suppressLineNumbers w:val="0"/>
              <w:jc w:val="center"/>
              <w:textAlignment w:val="center"/>
              <w:rPr>
                <w:bCs w:val="0"/>
              </w:rPr>
            </w:pPr>
          </w:p>
        </w:tc>
        <w:tc>
          <w:tcPr>
            <w:tcW w:w="1274" w:type="dxa"/>
            <w:tcBorders>
              <w:right w:val="single" w:color="auto" w:sz="4" w:space="0"/>
            </w:tcBorders>
            <w:vAlign w:val="center"/>
          </w:tcPr>
          <w:p w14:paraId="75F64119">
            <w:pPr>
              <w:keepNext w:val="0"/>
              <w:keepLines w:val="0"/>
              <w:widowControl/>
              <w:suppressLineNumbers w:val="0"/>
              <w:jc w:val="center"/>
              <w:textAlignment w:val="center"/>
              <w:rPr>
                <w:bCs w:val="0"/>
              </w:rPr>
            </w:pPr>
          </w:p>
        </w:tc>
        <w:tc>
          <w:tcPr>
            <w:tcW w:w="1769" w:type="dxa"/>
            <w:tcBorders>
              <w:left w:val="single" w:color="auto" w:sz="4" w:space="0"/>
            </w:tcBorders>
            <w:vAlign w:val="center"/>
          </w:tcPr>
          <w:p w14:paraId="588B0D61">
            <w:pPr>
              <w:keepNext w:val="0"/>
              <w:keepLines w:val="0"/>
              <w:widowControl/>
              <w:suppressLineNumbers w:val="0"/>
              <w:jc w:val="center"/>
              <w:textAlignment w:val="center"/>
              <w:rPr>
                <w:bCs w:val="0"/>
              </w:rPr>
            </w:pPr>
          </w:p>
        </w:tc>
        <w:tc>
          <w:tcPr>
            <w:tcW w:w="608" w:type="dxa"/>
            <w:vAlign w:val="center"/>
          </w:tcPr>
          <w:p w14:paraId="1B12F291">
            <w:pPr>
              <w:keepNext w:val="0"/>
              <w:keepLines w:val="0"/>
              <w:widowControl/>
              <w:suppressLineNumbers w:val="0"/>
              <w:jc w:val="center"/>
              <w:textAlignment w:val="center"/>
              <w:rPr>
                <w:bCs w:val="0"/>
              </w:rPr>
            </w:pPr>
          </w:p>
        </w:tc>
        <w:tc>
          <w:tcPr>
            <w:tcW w:w="1107" w:type="dxa"/>
            <w:tcBorders>
              <w:right w:val="single" w:color="auto" w:sz="4" w:space="0"/>
            </w:tcBorders>
            <w:vAlign w:val="center"/>
          </w:tcPr>
          <w:p w14:paraId="334407CF">
            <w:pPr>
              <w:keepNext w:val="0"/>
              <w:keepLines w:val="0"/>
              <w:widowControl/>
              <w:suppressLineNumbers w:val="0"/>
              <w:jc w:val="center"/>
              <w:textAlignment w:val="center"/>
              <w:rPr>
                <w:bCs w:val="0"/>
                <w:sz w:val="21"/>
                <w:szCs w:val="21"/>
              </w:rPr>
            </w:pPr>
          </w:p>
        </w:tc>
        <w:tc>
          <w:tcPr>
            <w:tcW w:w="554" w:type="dxa"/>
            <w:tcBorders>
              <w:left w:val="single" w:color="auto" w:sz="4" w:space="0"/>
              <w:right w:val="single" w:color="auto" w:sz="4" w:space="0"/>
            </w:tcBorders>
            <w:vAlign w:val="center"/>
          </w:tcPr>
          <w:p w14:paraId="42650F4B">
            <w:pPr>
              <w:keepNext w:val="0"/>
              <w:keepLines w:val="0"/>
              <w:widowControl/>
              <w:suppressLineNumbers w:val="0"/>
              <w:jc w:val="center"/>
              <w:textAlignment w:val="center"/>
              <w:rPr>
                <w:bCs w:val="0"/>
              </w:rPr>
            </w:pPr>
          </w:p>
        </w:tc>
        <w:tc>
          <w:tcPr>
            <w:tcW w:w="1019" w:type="dxa"/>
            <w:vAlign w:val="center"/>
          </w:tcPr>
          <w:p w14:paraId="72522BA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62FC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7D6A674">
            <w:pPr>
              <w:keepNext w:val="0"/>
              <w:keepLines w:val="0"/>
              <w:widowControl/>
              <w:suppressLineNumbers w:val="0"/>
              <w:jc w:val="center"/>
              <w:textAlignment w:val="center"/>
              <w:rPr>
                <w:bCs w:val="0"/>
              </w:rPr>
            </w:pPr>
            <w:r>
              <w:rPr>
                <w:rFonts w:hint="eastAsia" w:ascii="宋体" w:hAnsi="宋体" w:eastAsia="宋体" w:cs="宋体"/>
                <w:i w:val="0"/>
                <w:iCs w:val="0"/>
                <w:color w:val="000000"/>
                <w:kern w:val="0"/>
                <w:sz w:val="22"/>
                <w:szCs w:val="22"/>
                <w:u w:val="none"/>
                <w:lang w:val="en-US" w:eastAsia="zh-CN" w:bidi="ar"/>
              </w:rPr>
              <w:t>2</w:t>
            </w:r>
          </w:p>
        </w:tc>
        <w:tc>
          <w:tcPr>
            <w:tcW w:w="1096" w:type="dxa"/>
            <w:vAlign w:val="center"/>
          </w:tcPr>
          <w:p w14:paraId="4C4010F8">
            <w:pPr>
              <w:keepNext w:val="0"/>
              <w:keepLines w:val="0"/>
              <w:widowControl/>
              <w:suppressLineNumbers w:val="0"/>
              <w:jc w:val="center"/>
              <w:textAlignment w:val="center"/>
              <w:rPr>
                <w:bCs w:val="0"/>
              </w:rPr>
            </w:pPr>
          </w:p>
        </w:tc>
        <w:tc>
          <w:tcPr>
            <w:tcW w:w="1161" w:type="dxa"/>
            <w:vAlign w:val="center"/>
          </w:tcPr>
          <w:p w14:paraId="7E8F41E2">
            <w:pPr>
              <w:keepNext w:val="0"/>
              <w:keepLines w:val="0"/>
              <w:widowControl/>
              <w:suppressLineNumbers w:val="0"/>
              <w:jc w:val="center"/>
              <w:textAlignment w:val="center"/>
              <w:rPr>
                <w:bCs w:val="0"/>
              </w:rPr>
            </w:pPr>
          </w:p>
        </w:tc>
        <w:tc>
          <w:tcPr>
            <w:tcW w:w="1274" w:type="dxa"/>
            <w:tcBorders>
              <w:right w:val="single" w:color="auto" w:sz="4" w:space="0"/>
            </w:tcBorders>
            <w:vAlign w:val="center"/>
          </w:tcPr>
          <w:p w14:paraId="18A763B2">
            <w:pPr>
              <w:keepNext w:val="0"/>
              <w:keepLines w:val="0"/>
              <w:widowControl/>
              <w:suppressLineNumbers w:val="0"/>
              <w:jc w:val="center"/>
              <w:textAlignment w:val="center"/>
              <w:rPr>
                <w:bCs w:val="0"/>
              </w:rPr>
            </w:pPr>
          </w:p>
        </w:tc>
        <w:tc>
          <w:tcPr>
            <w:tcW w:w="1769" w:type="dxa"/>
            <w:tcBorders>
              <w:left w:val="single" w:color="auto" w:sz="4" w:space="0"/>
            </w:tcBorders>
            <w:vAlign w:val="center"/>
          </w:tcPr>
          <w:p w14:paraId="2E5A76D8">
            <w:pPr>
              <w:keepNext w:val="0"/>
              <w:keepLines w:val="0"/>
              <w:widowControl/>
              <w:suppressLineNumbers w:val="0"/>
              <w:jc w:val="center"/>
              <w:textAlignment w:val="center"/>
              <w:rPr>
                <w:bCs w:val="0"/>
              </w:rPr>
            </w:pPr>
          </w:p>
        </w:tc>
        <w:tc>
          <w:tcPr>
            <w:tcW w:w="608" w:type="dxa"/>
            <w:vAlign w:val="center"/>
          </w:tcPr>
          <w:p w14:paraId="7EDC0AC8">
            <w:pPr>
              <w:keepNext w:val="0"/>
              <w:keepLines w:val="0"/>
              <w:widowControl/>
              <w:suppressLineNumbers w:val="0"/>
              <w:jc w:val="center"/>
              <w:textAlignment w:val="center"/>
              <w:rPr>
                <w:bCs w:val="0"/>
              </w:rPr>
            </w:pPr>
          </w:p>
        </w:tc>
        <w:tc>
          <w:tcPr>
            <w:tcW w:w="1107" w:type="dxa"/>
            <w:tcBorders>
              <w:right w:val="single" w:color="auto" w:sz="4" w:space="0"/>
            </w:tcBorders>
            <w:vAlign w:val="center"/>
          </w:tcPr>
          <w:p w14:paraId="219828CC">
            <w:pPr>
              <w:keepNext w:val="0"/>
              <w:keepLines w:val="0"/>
              <w:widowControl/>
              <w:suppressLineNumbers w:val="0"/>
              <w:jc w:val="center"/>
              <w:textAlignment w:val="center"/>
              <w:rPr>
                <w:bCs w:val="0"/>
                <w:sz w:val="21"/>
                <w:szCs w:val="21"/>
              </w:rPr>
            </w:pPr>
          </w:p>
        </w:tc>
        <w:tc>
          <w:tcPr>
            <w:tcW w:w="554" w:type="dxa"/>
            <w:tcBorders>
              <w:left w:val="single" w:color="auto" w:sz="4" w:space="0"/>
              <w:right w:val="single" w:color="auto" w:sz="4" w:space="0"/>
            </w:tcBorders>
            <w:vAlign w:val="center"/>
          </w:tcPr>
          <w:p w14:paraId="21905E6E">
            <w:pPr>
              <w:keepNext w:val="0"/>
              <w:keepLines w:val="0"/>
              <w:widowControl/>
              <w:suppressLineNumbers w:val="0"/>
              <w:jc w:val="center"/>
              <w:textAlignment w:val="center"/>
              <w:rPr>
                <w:bCs w:val="0"/>
              </w:rPr>
            </w:pPr>
          </w:p>
        </w:tc>
        <w:tc>
          <w:tcPr>
            <w:tcW w:w="1019" w:type="dxa"/>
            <w:vAlign w:val="center"/>
          </w:tcPr>
          <w:p w14:paraId="370BB1A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78C1E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03D1FA16">
            <w:pPr>
              <w:keepNext w:val="0"/>
              <w:keepLines w:val="0"/>
              <w:widowControl/>
              <w:suppressLineNumbers w:val="0"/>
              <w:jc w:val="center"/>
              <w:textAlignment w:val="center"/>
              <w:rPr>
                <w:bCs w:val="0"/>
              </w:rPr>
            </w:pPr>
            <w:r>
              <w:rPr>
                <w:rFonts w:hint="eastAsia" w:ascii="宋体" w:hAnsi="宋体" w:eastAsia="宋体" w:cs="宋体"/>
                <w:i w:val="0"/>
                <w:iCs w:val="0"/>
                <w:color w:val="000000"/>
                <w:kern w:val="0"/>
                <w:sz w:val="22"/>
                <w:szCs w:val="22"/>
                <w:u w:val="none"/>
                <w:lang w:val="en-US" w:eastAsia="zh-CN" w:bidi="ar"/>
              </w:rPr>
              <w:t>3</w:t>
            </w:r>
          </w:p>
        </w:tc>
        <w:tc>
          <w:tcPr>
            <w:tcW w:w="1096" w:type="dxa"/>
            <w:vAlign w:val="center"/>
          </w:tcPr>
          <w:p w14:paraId="5333A3BB">
            <w:pPr>
              <w:keepNext w:val="0"/>
              <w:keepLines w:val="0"/>
              <w:widowControl/>
              <w:suppressLineNumbers w:val="0"/>
              <w:jc w:val="center"/>
              <w:textAlignment w:val="center"/>
              <w:rPr>
                <w:bCs w:val="0"/>
              </w:rPr>
            </w:pPr>
          </w:p>
        </w:tc>
        <w:tc>
          <w:tcPr>
            <w:tcW w:w="1161" w:type="dxa"/>
            <w:vAlign w:val="center"/>
          </w:tcPr>
          <w:p w14:paraId="7805898A">
            <w:pPr>
              <w:keepNext w:val="0"/>
              <w:keepLines w:val="0"/>
              <w:widowControl/>
              <w:suppressLineNumbers w:val="0"/>
              <w:jc w:val="center"/>
              <w:textAlignment w:val="center"/>
              <w:rPr>
                <w:bCs w:val="0"/>
              </w:rPr>
            </w:pPr>
          </w:p>
        </w:tc>
        <w:tc>
          <w:tcPr>
            <w:tcW w:w="1274" w:type="dxa"/>
            <w:tcBorders>
              <w:right w:val="single" w:color="auto" w:sz="4" w:space="0"/>
            </w:tcBorders>
            <w:vAlign w:val="center"/>
          </w:tcPr>
          <w:p w14:paraId="30143E52">
            <w:pPr>
              <w:keepNext w:val="0"/>
              <w:keepLines w:val="0"/>
              <w:widowControl/>
              <w:suppressLineNumbers w:val="0"/>
              <w:jc w:val="center"/>
              <w:textAlignment w:val="center"/>
              <w:rPr>
                <w:bCs w:val="0"/>
              </w:rPr>
            </w:pPr>
          </w:p>
        </w:tc>
        <w:tc>
          <w:tcPr>
            <w:tcW w:w="1769" w:type="dxa"/>
            <w:tcBorders>
              <w:left w:val="single" w:color="auto" w:sz="4" w:space="0"/>
            </w:tcBorders>
            <w:vAlign w:val="center"/>
          </w:tcPr>
          <w:p w14:paraId="3351F0CE">
            <w:pPr>
              <w:keepNext w:val="0"/>
              <w:keepLines w:val="0"/>
              <w:widowControl/>
              <w:suppressLineNumbers w:val="0"/>
              <w:jc w:val="center"/>
              <w:textAlignment w:val="center"/>
              <w:rPr>
                <w:bCs w:val="0"/>
              </w:rPr>
            </w:pPr>
          </w:p>
        </w:tc>
        <w:tc>
          <w:tcPr>
            <w:tcW w:w="608" w:type="dxa"/>
            <w:vAlign w:val="center"/>
          </w:tcPr>
          <w:p w14:paraId="0DF601F2">
            <w:pPr>
              <w:keepNext w:val="0"/>
              <w:keepLines w:val="0"/>
              <w:widowControl/>
              <w:suppressLineNumbers w:val="0"/>
              <w:jc w:val="center"/>
              <w:textAlignment w:val="center"/>
              <w:rPr>
                <w:bCs w:val="0"/>
              </w:rPr>
            </w:pPr>
          </w:p>
        </w:tc>
        <w:tc>
          <w:tcPr>
            <w:tcW w:w="1107" w:type="dxa"/>
            <w:tcBorders>
              <w:right w:val="single" w:color="auto" w:sz="4" w:space="0"/>
            </w:tcBorders>
            <w:vAlign w:val="center"/>
          </w:tcPr>
          <w:p w14:paraId="0495E8D6">
            <w:pPr>
              <w:keepNext w:val="0"/>
              <w:keepLines w:val="0"/>
              <w:widowControl/>
              <w:suppressLineNumbers w:val="0"/>
              <w:jc w:val="center"/>
              <w:textAlignment w:val="center"/>
              <w:rPr>
                <w:bCs w:val="0"/>
                <w:sz w:val="21"/>
                <w:szCs w:val="21"/>
              </w:rPr>
            </w:pPr>
          </w:p>
        </w:tc>
        <w:tc>
          <w:tcPr>
            <w:tcW w:w="554" w:type="dxa"/>
            <w:tcBorders>
              <w:left w:val="single" w:color="auto" w:sz="4" w:space="0"/>
              <w:right w:val="single" w:color="auto" w:sz="4" w:space="0"/>
            </w:tcBorders>
            <w:vAlign w:val="center"/>
          </w:tcPr>
          <w:p w14:paraId="0A92B0AD">
            <w:pPr>
              <w:keepNext w:val="0"/>
              <w:keepLines w:val="0"/>
              <w:widowControl/>
              <w:suppressLineNumbers w:val="0"/>
              <w:jc w:val="center"/>
              <w:textAlignment w:val="center"/>
              <w:rPr>
                <w:bCs w:val="0"/>
              </w:rPr>
            </w:pPr>
          </w:p>
        </w:tc>
        <w:tc>
          <w:tcPr>
            <w:tcW w:w="1019" w:type="dxa"/>
            <w:vAlign w:val="center"/>
          </w:tcPr>
          <w:p w14:paraId="51D1547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2CAD2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65EAB854">
            <w:pPr>
              <w:keepNext w:val="0"/>
              <w:keepLines w:val="0"/>
              <w:widowControl/>
              <w:suppressLineNumbers w:val="0"/>
              <w:jc w:val="center"/>
              <w:textAlignment w:val="center"/>
              <w:rPr>
                <w:bCs w:val="0"/>
              </w:rPr>
            </w:pPr>
            <w:r>
              <w:rPr>
                <w:rFonts w:hint="eastAsia" w:ascii="宋体" w:hAnsi="宋体" w:eastAsia="宋体" w:cs="宋体"/>
                <w:i w:val="0"/>
                <w:iCs w:val="0"/>
                <w:color w:val="000000"/>
                <w:kern w:val="0"/>
                <w:sz w:val="22"/>
                <w:szCs w:val="22"/>
                <w:u w:val="none"/>
                <w:lang w:val="en-US" w:eastAsia="zh-CN" w:bidi="ar"/>
              </w:rPr>
              <w:t>4</w:t>
            </w:r>
          </w:p>
        </w:tc>
        <w:tc>
          <w:tcPr>
            <w:tcW w:w="1096" w:type="dxa"/>
            <w:vAlign w:val="center"/>
          </w:tcPr>
          <w:p w14:paraId="2B955A27">
            <w:pPr>
              <w:keepNext w:val="0"/>
              <w:keepLines w:val="0"/>
              <w:widowControl/>
              <w:suppressLineNumbers w:val="0"/>
              <w:jc w:val="center"/>
              <w:textAlignment w:val="center"/>
              <w:rPr>
                <w:bCs w:val="0"/>
              </w:rPr>
            </w:pPr>
          </w:p>
        </w:tc>
        <w:tc>
          <w:tcPr>
            <w:tcW w:w="1161" w:type="dxa"/>
            <w:vAlign w:val="center"/>
          </w:tcPr>
          <w:p w14:paraId="79809FD1">
            <w:pPr>
              <w:keepNext w:val="0"/>
              <w:keepLines w:val="0"/>
              <w:widowControl/>
              <w:suppressLineNumbers w:val="0"/>
              <w:jc w:val="center"/>
              <w:textAlignment w:val="center"/>
              <w:rPr>
                <w:bCs w:val="0"/>
              </w:rPr>
            </w:pPr>
          </w:p>
        </w:tc>
        <w:tc>
          <w:tcPr>
            <w:tcW w:w="1274" w:type="dxa"/>
            <w:tcBorders>
              <w:right w:val="single" w:color="auto" w:sz="4" w:space="0"/>
            </w:tcBorders>
            <w:vAlign w:val="center"/>
          </w:tcPr>
          <w:p w14:paraId="13A3EBAA">
            <w:pPr>
              <w:keepNext w:val="0"/>
              <w:keepLines w:val="0"/>
              <w:widowControl/>
              <w:suppressLineNumbers w:val="0"/>
              <w:jc w:val="center"/>
              <w:textAlignment w:val="center"/>
              <w:rPr>
                <w:bCs w:val="0"/>
              </w:rPr>
            </w:pPr>
          </w:p>
        </w:tc>
        <w:tc>
          <w:tcPr>
            <w:tcW w:w="1769" w:type="dxa"/>
            <w:tcBorders>
              <w:left w:val="single" w:color="auto" w:sz="4" w:space="0"/>
            </w:tcBorders>
            <w:vAlign w:val="center"/>
          </w:tcPr>
          <w:p w14:paraId="2BAD9C67">
            <w:pPr>
              <w:keepNext w:val="0"/>
              <w:keepLines w:val="0"/>
              <w:widowControl/>
              <w:suppressLineNumbers w:val="0"/>
              <w:jc w:val="center"/>
              <w:textAlignment w:val="center"/>
              <w:rPr>
                <w:bCs w:val="0"/>
              </w:rPr>
            </w:pPr>
          </w:p>
        </w:tc>
        <w:tc>
          <w:tcPr>
            <w:tcW w:w="608" w:type="dxa"/>
            <w:vAlign w:val="center"/>
          </w:tcPr>
          <w:p w14:paraId="6DB459C2">
            <w:pPr>
              <w:keepNext w:val="0"/>
              <w:keepLines w:val="0"/>
              <w:widowControl/>
              <w:suppressLineNumbers w:val="0"/>
              <w:jc w:val="center"/>
              <w:textAlignment w:val="center"/>
              <w:rPr>
                <w:bCs w:val="0"/>
              </w:rPr>
            </w:pPr>
          </w:p>
        </w:tc>
        <w:tc>
          <w:tcPr>
            <w:tcW w:w="1107" w:type="dxa"/>
            <w:tcBorders>
              <w:right w:val="single" w:color="auto" w:sz="4" w:space="0"/>
            </w:tcBorders>
            <w:vAlign w:val="center"/>
          </w:tcPr>
          <w:p w14:paraId="223A05E1">
            <w:pPr>
              <w:keepNext w:val="0"/>
              <w:keepLines w:val="0"/>
              <w:widowControl/>
              <w:suppressLineNumbers w:val="0"/>
              <w:jc w:val="center"/>
              <w:textAlignment w:val="center"/>
              <w:rPr>
                <w:bCs w:val="0"/>
                <w:sz w:val="21"/>
                <w:szCs w:val="21"/>
              </w:rPr>
            </w:pPr>
          </w:p>
        </w:tc>
        <w:tc>
          <w:tcPr>
            <w:tcW w:w="554" w:type="dxa"/>
            <w:tcBorders>
              <w:left w:val="single" w:color="auto" w:sz="4" w:space="0"/>
              <w:right w:val="single" w:color="auto" w:sz="4" w:space="0"/>
            </w:tcBorders>
            <w:vAlign w:val="center"/>
          </w:tcPr>
          <w:p w14:paraId="13FABE8F">
            <w:pPr>
              <w:keepNext w:val="0"/>
              <w:keepLines w:val="0"/>
              <w:widowControl/>
              <w:suppressLineNumbers w:val="0"/>
              <w:jc w:val="center"/>
              <w:textAlignment w:val="center"/>
              <w:rPr>
                <w:bCs w:val="0"/>
              </w:rPr>
            </w:pPr>
          </w:p>
        </w:tc>
        <w:tc>
          <w:tcPr>
            <w:tcW w:w="1019" w:type="dxa"/>
            <w:vAlign w:val="center"/>
          </w:tcPr>
          <w:p w14:paraId="57D6C6F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4A9A6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48" w:type="dxa"/>
            <w:vAlign w:val="center"/>
          </w:tcPr>
          <w:p w14:paraId="5EBDD5B4">
            <w:pPr>
              <w:keepNext w:val="0"/>
              <w:keepLines w:val="0"/>
              <w:widowControl/>
              <w:suppressLineNumbers w:val="0"/>
              <w:jc w:val="center"/>
              <w:textAlignment w:val="center"/>
              <w:rPr>
                <w:bCs w:val="0"/>
              </w:rPr>
            </w:pPr>
            <w:r>
              <w:rPr>
                <w:rFonts w:hint="eastAsia" w:ascii="宋体" w:hAnsi="宋体" w:eastAsia="宋体" w:cs="宋体"/>
                <w:i w:val="0"/>
                <w:iCs w:val="0"/>
                <w:color w:val="000000"/>
                <w:kern w:val="0"/>
                <w:sz w:val="22"/>
                <w:szCs w:val="22"/>
                <w:u w:val="none"/>
                <w:lang w:val="en-US" w:eastAsia="zh-CN" w:bidi="ar"/>
              </w:rPr>
              <w:t>5</w:t>
            </w:r>
          </w:p>
        </w:tc>
        <w:tc>
          <w:tcPr>
            <w:tcW w:w="1096" w:type="dxa"/>
            <w:vAlign w:val="center"/>
          </w:tcPr>
          <w:p w14:paraId="216B068A">
            <w:pPr>
              <w:keepNext w:val="0"/>
              <w:keepLines w:val="0"/>
              <w:widowControl/>
              <w:suppressLineNumbers w:val="0"/>
              <w:jc w:val="center"/>
              <w:textAlignment w:val="center"/>
              <w:rPr>
                <w:bCs w:val="0"/>
              </w:rPr>
            </w:pPr>
          </w:p>
        </w:tc>
        <w:tc>
          <w:tcPr>
            <w:tcW w:w="1161" w:type="dxa"/>
            <w:vAlign w:val="center"/>
          </w:tcPr>
          <w:p w14:paraId="290C3CF8">
            <w:pPr>
              <w:keepNext w:val="0"/>
              <w:keepLines w:val="0"/>
              <w:widowControl/>
              <w:suppressLineNumbers w:val="0"/>
              <w:jc w:val="center"/>
              <w:textAlignment w:val="center"/>
              <w:rPr>
                <w:bCs w:val="0"/>
              </w:rPr>
            </w:pPr>
          </w:p>
        </w:tc>
        <w:tc>
          <w:tcPr>
            <w:tcW w:w="1274" w:type="dxa"/>
            <w:tcBorders>
              <w:right w:val="single" w:color="auto" w:sz="4" w:space="0"/>
            </w:tcBorders>
            <w:vAlign w:val="center"/>
          </w:tcPr>
          <w:p w14:paraId="23025717">
            <w:pPr>
              <w:keepNext w:val="0"/>
              <w:keepLines w:val="0"/>
              <w:widowControl/>
              <w:suppressLineNumbers w:val="0"/>
              <w:jc w:val="center"/>
              <w:textAlignment w:val="center"/>
              <w:rPr>
                <w:bCs w:val="0"/>
              </w:rPr>
            </w:pPr>
          </w:p>
        </w:tc>
        <w:tc>
          <w:tcPr>
            <w:tcW w:w="1769" w:type="dxa"/>
            <w:tcBorders>
              <w:left w:val="single" w:color="auto" w:sz="4" w:space="0"/>
            </w:tcBorders>
            <w:vAlign w:val="center"/>
          </w:tcPr>
          <w:p w14:paraId="4AE00587">
            <w:pPr>
              <w:keepNext w:val="0"/>
              <w:keepLines w:val="0"/>
              <w:widowControl/>
              <w:suppressLineNumbers w:val="0"/>
              <w:jc w:val="center"/>
              <w:textAlignment w:val="center"/>
              <w:rPr>
                <w:bCs w:val="0"/>
              </w:rPr>
            </w:pPr>
          </w:p>
        </w:tc>
        <w:tc>
          <w:tcPr>
            <w:tcW w:w="608" w:type="dxa"/>
            <w:vAlign w:val="center"/>
          </w:tcPr>
          <w:p w14:paraId="1B89CB57">
            <w:pPr>
              <w:keepNext w:val="0"/>
              <w:keepLines w:val="0"/>
              <w:widowControl/>
              <w:suppressLineNumbers w:val="0"/>
              <w:jc w:val="center"/>
              <w:textAlignment w:val="center"/>
              <w:rPr>
                <w:bCs w:val="0"/>
              </w:rPr>
            </w:pPr>
          </w:p>
        </w:tc>
        <w:tc>
          <w:tcPr>
            <w:tcW w:w="1107" w:type="dxa"/>
            <w:tcBorders>
              <w:right w:val="single" w:color="auto" w:sz="4" w:space="0"/>
            </w:tcBorders>
            <w:vAlign w:val="center"/>
          </w:tcPr>
          <w:p w14:paraId="387DAA01">
            <w:pPr>
              <w:keepNext w:val="0"/>
              <w:keepLines w:val="0"/>
              <w:widowControl/>
              <w:suppressLineNumbers w:val="0"/>
              <w:jc w:val="center"/>
              <w:textAlignment w:val="center"/>
              <w:rPr>
                <w:bCs w:val="0"/>
                <w:sz w:val="21"/>
                <w:szCs w:val="21"/>
              </w:rPr>
            </w:pPr>
          </w:p>
        </w:tc>
        <w:tc>
          <w:tcPr>
            <w:tcW w:w="554" w:type="dxa"/>
            <w:tcBorders>
              <w:left w:val="single" w:color="auto" w:sz="4" w:space="0"/>
              <w:right w:val="single" w:color="auto" w:sz="4" w:space="0"/>
            </w:tcBorders>
            <w:vAlign w:val="center"/>
          </w:tcPr>
          <w:p w14:paraId="7F5739F4">
            <w:pPr>
              <w:keepNext w:val="0"/>
              <w:keepLines w:val="0"/>
              <w:widowControl/>
              <w:suppressLineNumbers w:val="0"/>
              <w:jc w:val="center"/>
              <w:textAlignment w:val="center"/>
              <w:rPr>
                <w:bCs w:val="0"/>
              </w:rPr>
            </w:pPr>
          </w:p>
        </w:tc>
        <w:tc>
          <w:tcPr>
            <w:tcW w:w="1019" w:type="dxa"/>
            <w:vAlign w:val="center"/>
          </w:tcPr>
          <w:p w14:paraId="5D7F59E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bl>
    <w:p w14:paraId="07EE68EC">
      <w:pPr>
        <w:pStyle w:val="11"/>
        <w:jc w:val="both"/>
        <w:rPr>
          <w:b/>
        </w:rPr>
      </w:pPr>
    </w:p>
    <w:p w14:paraId="23F92960">
      <w:pPr>
        <w:pStyle w:val="11"/>
        <w:jc w:val="both"/>
        <w:outlineLvl w:val="0"/>
        <w:rPr>
          <w:b/>
        </w:rPr>
      </w:pPr>
      <w:r>
        <w:rPr>
          <w:rFonts w:hint="eastAsia"/>
          <w:b/>
        </w:rPr>
        <w:t>八、项目实施或货物交付地点：采购人指定地点。</w:t>
      </w:r>
    </w:p>
    <w:p w14:paraId="00B3406E">
      <w:pPr>
        <w:pStyle w:val="11"/>
        <w:jc w:val="both"/>
        <w:outlineLvl w:val="0"/>
        <w:rPr>
          <w:b/>
        </w:rPr>
      </w:pPr>
      <w:r>
        <w:rPr>
          <w:rFonts w:hint="eastAsia"/>
          <w:b/>
        </w:rPr>
        <w:t>九</w:t>
      </w:r>
      <w:r>
        <w:rPr>
          <w:b/>
        </w:rPr>
        <w:t>、验收标准和方法</w:t>
      </w:r>
    </w:p>
    <w:p w14:paraId="4684E3EC">
      <w:pPr>
        <w:pStyle w:val="11"/>
        <w:ind w:firstLine="480"/>
      </w:pPr>
      <w:r>
        <w:t>到货验收：设备到达采购人指定地点后，供应商应提供产品（包括部件、附件）清单，由采购人使用部门、供应商共同进行初步验收。初步验收主要对所供设备及所有部件的外观、生产商、型号、规格、数量及证书报告根据招标文件、供应商的投标文件等进行检查，确认是否符合初步验收标准。所验设备或部件不符合初步验收标准时，不得进行安装，供应商必须免费更换或退货，并承担所有</w:t>
      </w:r>
    </w:p>
    <w:p w14:paraId="44A04A27">
      <w:pPr>
        <w:pStyle w:val="11"/>
        <w:jc w:val="both"/>
      </w:pPr>
      <w:r>
        <w:t>相关责任及费用，以及逾期交付的违约责任。</w:t>
      </w:r>
    </w:p>
    <w:p w14:paraId="73833021">
      <w:pPr>
        <w:pStyle w:val="11"/>
        <w:ind w:firstLine="480"/>
      </w:pPr>
      <w:r>
        <w:t>整机验收：设备安装、调试、检定完毕后，供应商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供应商向采购人移交所有技术资料。所验产品达不到验收标准的，或在使用中发现采购人不能容忍的缺陷等，将视为验收不合格，供应商应按采购人的要求及规定的时间内无条件整改，包括免费更换或退货，并</w:t>
      </w:r>
    </w:p>
    <w:p w14:paraId="485A57A7">
      <w:pPr>
        <w:pStyle w:val="11"/>
        <w:jc w:val="both"/>
      </w:pPr>
      <w:r>
        <w:t>承担所有相关费用，以及逾期交付的违约责任。</w:t>
      </w:r>
    </w:p>
    <w:p w14:paraId="0F6F1E52">
      <w:pPr>
        <w:pStyle w:val="11"/>
        <w:jc w:val="both"/>
      </w:pPr>
      <w:r>
        <w:rPr>
          <w:rFonts w:hint="eastAsia"/>
        </w:rPr>
        <w:t xml:space="preserve">    </w:t>
      </w:r>
      <w:r>
        <w:t>整机验收合格后，供应商提交经使用部门签字认可的培训记录（1份）、加盖公章的售后服务承诺书（3份），并填写《西安市市级单位政府采购合同履约验收单》（4份），方视为最终通过验收，最终验收合格之日起计算质保期。</w:t>
      </w:r>
    </w:p>
    <w:p w14:paraId="52B245B1">
      <w:pPr>
        <w:pStyle w:val="11"/>
        <w:jc w:val="left"/>
      </w:pPr>
      <w:r>
        <w:rPr>
          <w:rFonts w:hint="eastAsia"/>
        </w:rPr>
        <w:t xml:space="preserve">    </w:t>
      </w:r>
      <w:r>
        <w:t>质保期内，若存在质量、服务问题，供应商应当按照投标文件中承诺的条款及时进行处理。</w:t>
      </w:r>
    </w:p>
    <w:p w14:paraId="29C2197A">
      <w:pPr>
        <w:pStyle w:val="11"/>
      </w:pPr>
      <w:r>
        <w:rPr>
          <w:rFonts w:hint="eastAsia"/>
        </w:rPr>
        <w:t xml:space="preserve">    </w:t>
      </w:r>
      <w:r>
        <w:t xml:space="preserve">若发现供应商弄虚作假，在招投标阶段故意或随意夸大所投产品技术参数、产品性能，或以国产产品冒充进口产品或提供贴牌产品的，供应商应无条件退货，采购方有权单方解除本合同，供应商赔偿采购人所有的损失。供应商提供的溯源证书必须真实、有效，并承担因证书不实引发的一切法律责任。同时，采购人有权将供应商违法违规情况向西安市政府采购监督部门通报，并由其依法进行处理。 </w:t>
      </w:r>
    </w:p>
    <w:p w14:paraId="23901C66">
      <w:pPr>
        <w:pStyle w:val="11"/>
        <w:ind w:firstLine="480" w:firstLineChars="200"/>
        <w:jc w:val="left"/>
      </w:pPr>
      <w:r>
        <w:t>履约验收标准：</w:t>
      </w:r>
    </w:p>
    <w:p w14:paraId="20DCC399">
      <w:pPr>
        <w:pStyle w:val="11"/>
        <w:jc w:val="left"/>
      </w:pPr>
      <w:r>
        <w:rPr>
          <w:rFonts w:hint="eastAsia"/>
        </w:rPr>
        <w:t xml:space="preserve">    </w:t>
      </w:r>
      <w:r>
        <w:t>①合同文本；</w:t>
      </w:r>
    </w:p>
    <w:p w14:paraId="7DD2B1D7">
      <w:pPr>
        <w:pStyle w:val="11"/>
        <w:jc w:val="left"/>
      </w:pPr>
      <w:r>
        <w:rPr>
          <w:rFonts w:hint="eastAsia"/>
        </w:rPr>
        <w:t xml:space="preserve">    </w:t>
      </w:r>
      <w:r>
        <w:t>②投标文件及澄清函、招标文件；</w:t>
      </w:r>
    </w:p>
    <w:p w14:paraId="39F4CFC1">
      <w:pPr>
        <w:pStyle w:val="11"/>
        <w:jc w:val="left"/>
      </w:pPr>
      <w:r>
        <w:rPr>
          <w:rFonts w:hint="eastAsia"/>
        </w:rPr>
        <w:t xml:space="preserve">    </w:t>
      </w:r>
      <w:r>
        <w:t>③国家和行业、企业制定的相应标准和规范；</w:t>
      </w:r>
    </w:p>
    <w:p w14:paraId="3AAA8F79">
      <w:pPr>
        <w:pStyle w:val="11"/>
        <w:jc w:val="left"/>
      </w:pPr>
      <w:r>
        <w:rPr>
          <w:rFonts w:hint="eastAsia"/>
        </w:rPr>
        <w:t xml:space="preserve">    </w:t>
      </w:r>
      <w:r>
        <w:t>④</w:t>
      </w:r>
      <w:r>
        <w:rPr>
          <w:rFonts w:hint="eastAsia"/>
          <w:lang w:val="en-US" w:eastAsia="zh-CN"/>
        </w:rPr>
        <w:t>计量技术规范、标准</w:t>
      </w:r>
      <w:r>
        <w:t>等。</w:t>
      </w:r>
    </w:p>
    <w:p w14:paraId="68949605">
      <w:pPr>
        <w:pStyle w:val="11"/>
      </w:pPr>
      <w:r>
        <w:rPr>
          <w:rFonts w:hint="eastAsia"/>
        </w:rPr>
        <w:t xml:space="preserve">   </w:t>
      </w:r>
      <w:r>
        <w:t>⑤产品清单（注明品名、数量、规格和原产地或生产厂家，包括部件）。</w:t>
      </w:r>
    </w:p>
    <w:p w14:paraId="480C06FB">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w:t>
      </w:r>
      <w:r>
        <w:rPr>
          <w:rFonts w:asciiTheme="minorEastAsia" w:hAnsiTheme="minorEastAsia" w:eastAsiaTheme="minorEastAsia" w:cstheme="minorEastAsia"/>
          <w:b/>
          <w:color w:val="auto"/>
          <w:sz w:val="24"/>
        </w:rPr>
        <w:t>、包装</w:t>
      </w:r>
      <w:r>
        <w:rPr>
          <w:rFonts w:hint="eastAsia" w:asciiTheme="minorEastAsia" w:hAnsiTheme="minorEastAsia" w:eastAsiaTheme="minorEastAsia" w:cstheme="minorEastAsia"/>
          <w:b/>
          <w:color w:val="auto"/>
          <w:sz w:val="24"/>
        </w:rPr>
        <w:t>、</w:t>
      </w:r>
      <w:r>
        <w:rPr>
          <w:rFonts w:asciiTheme="minorEastAsia" w:hAnsiTheme="minorEastAsia" w:eastAsiaTheme="minorEastAsia" w:cstheme="minorEastAsia"/>
          <w:b/>
          <w:color w:val="auto"/>
          <w:sz w:val="24"/>
        </w:rPr>
        <w:t>运输</w:t>
      </w:r>
      <w:r>
        <w:rPr>
          <w:rFonts w:hint="eastAsia" w:asciiTheme="minorEastAsia" w:hAnsiTheme="minorEastAsia" w:eastAsiaTheme="minorEastAsia" w:cstheme="minorEastAsia"/>
          <w:b/>
          <w:color w:val="auto"/>
          <w:sz w:val="24"/>
        </w:rPr>
        <w:t>、调试</w:t>
      </w:r>
    </w:p>
    <w:p w14:paraId="0BC4324D">
      <w:pPr>
        <w:pStyle w:val="11"/>
        <w:jc w:val="left"/>
      </w:pPr>
      <w:r>
        <w:rPr>
          <w:rFonts w:hint="eastAsia"/>
        </w:rPr>
        <w:t xml:space="preserve">    </w:t>
      </w:r>
      <w:r>
        <w:t>1、包装：产品包装应采取防潮、防晒、防腐蚀、防震动及防止其他损坏的必要措施。供应商应承担由于其包装或防护措施不妥而引起的货物锈蚀、损坏和丢失等任何损失造成的责任或费用</w:t>
      </w:r>
      <w:r>
        <w:rPr>
          <w:rFonts w:hint="eastAsia"/>
        </w:rPr>
        <w:t>；</w:t>
      </w:r>
    </w:p>
    <w:p w14:paraId="61D7713B">
      <w:pPr>
        <w:pStyle w:val="11"/>
        <w:jc w:val="left"/>
      </w:pPr>
      <w:r>
        <w:rPr>
          <w:rFonts w:hint="eastAsia"/>
        </w:rPr>
        <w:t xml:space="preserve">    </w:t>
      </w:r>
      <w:r>
        <w:t>2、运输：运杂费一次包死在总价内，包括</w:t>
      </w:r>
      <w:r>
        <w:rPr>
          <w:rFonts w:hint="eastAsia"/>
          <w:lang w:val="en-US" w:eastAsia="zh-CN"/>
        </w:rPr>
        <w:t>并不限于</w:t>
      </w:r>
      <w:r>
        <w:t>生产厂到施工现场所需的装卸、运输（含保险费）、现场保管费、二次倒运费、吊装费等费用</w:t>
      </w:r>
      <w:r>
        <w:rPr>
          <w:rFonts w:hint="eastAsia"/>
        </w:rPr>
        <w:t>；</w:t>
      </w:r>
    </w:p>
    <w:p w14:paraId="029A53DE">
      <w:pPr>
        <w:pStyle w:val="11"/>
        <w:jc w:val="left"/>
      </w:pPr>
      <w:r>
        <w:rPr>
          <w:rFonts w:hint="eastAsia"/>
        </w:rPr>
        <w:t xml:space="preserve">    3、调试：供应商负责安装和调试，保证设备能够正常运行，并达到合同中规定的技术要求及产品性能；</w:t>
      </w:r>
    </w:p>
    <w:p w14:paraId="2F1C7978">
      <w:pPr>
        <w:pStyle w:val="11"/>
        <w:jc w:val="left"/>
      </w:pPr>
      <w:r>
        <w:rPr>
          <w:rFonts w:hint="eastAsia"/>
        </w:rPr>
        <w:t xml:space="preserve">    4、供应商应对运输、搬运、安装、调试等实施过程的安全负责，如发生人身伤亡、财产损失的由供应商负责解决并承担全部责任及费用；</w:t>
      </w:r>
    </w:p>
    <w:p w14:paraId="70367948">
      <w:pPr>
        <w:pStyle w:val="11"/>
        <w:jc w:val="left"/>
      </w:pPr>
      <w:r>
        <w:rPr>
          <w:rFonts w:hint="eastAsia"/>
        </w:rPr>
        <w:t xml:space="preserve">    5、所有产品在运输、搬运、安装、调试的过程中，造成采购人损失的，由供应商承担全部责任并赔偿费用；</w:t>
      </w:r>
    </w:p>
    <w:p w14:paraId="51FEC323">
      <w:pPr>
        <w:pStyle w:val="11"/>
        <w:jc w:val="left"/>
      </w:pPr>
      <w:r>
        <w:rPr>
          <w:rFonts w:hint="eastAsia"/>
        </w:rPr>
        <w:t xml:space="preserve">    6、合同所约定的货物及配套设备交付采购人验收合格前的风险由供应商承担，采购人承担验收合格接收后的风险。</w:t>
      </w:r>
    </w:p>
    <w:p w14:paraId="32B3C74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十一、培训</w:t>
      </w:r>
    </w:p>
    <w:p w14:paraId="2F1C9E19">
      <w:pPr>
        <w:pStyle w:val="11"/>
        <w:jc w:val="left"/>
      </w:pPr>
      <w:r>
        <w:rPr>
          <w:rFonts w:hint="eastAsia"/>
        </w:rPr>
        <w:t xml:space="preserve">    1、至少包括产品使用操作、保养、维修等培训内容。在设备投入使用前，供应商应按采购人要求免费培训技术人员若干名，培训服务以受培训人员熟练掌握相应技能为原则。使用初期进行必要的跟踪指导，保证设备的稳定运行；</w:t>
      </w:r>
    </w:p>
    <w:p w14:paraId="7DF93D06">
      <w:pPr>
        <w:pStyle w:val="11"/>
        <w:jc w:val="left"/>
      </w:pPr>
      <w:r>
        <w:rPr>
          <w:rFonts w:hint="eastAsia"/>
        </w:rPr>
        <w:t xml:space="preserve">    2、产品需在培训基地培训的，供应商应按要求履行，采购人指派人员因参加培训所产生的交通费、食宿费、培训费等均由供应商承担；</w:t>
      </w:r>
    </w:p>
    <w:p w14:paraId="033522C7">
      <w:pPr>
        <w:pStyle w:val="11"/>
        <w:jc w:val="left"/>
      </w:pPr>
      <w:r>
        <w:rPr>
          <w:rFonts w:hint="eastAsia"/>
        </w:rPr>
        <w:t xml:space="preserve">    3、供应商应提供书面培训记录，并经受培训人员签字确认。</w:t>
      </w:r>
    </w:p>
    <w:p w14:paraId="40BD241D">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十二、技术资料</w:t>
      </w:r>
    </w:p>
    <w:p w14:paraId="3D3505B1">
      <w:pPr>
        <w:pStyle w:val="11"/>
      </w:pPr>
      <w:r>
        <w:rPr>
          <w:rFonts w:hint="eastAsia"/>
        </w:rPr>
        <w:t xml:space="preserve">    供应商应向采购人提供全套中文技术资料一套，其费用包括在合同总价款中：</w:t>
      </w:r>
    </w:p>
    <w:p w14:paraId="683891EC">
      <w:pPr>
        <w:pStyle w:val="11"/>
        <w:jc w:val="left"/>
      </w:pPr>
      <w:r>
        <w:rPr>
          <w:rFonts w:hint="eastAsia"/>
        </w:rPr>
        <w:t xml:space="preserve">    1、完整的产品操作使用手册、说明书和维护、修理技术文件、图纸、保修卡等；</w:t>
      </w:r>
    </w:p>
    <w:p w14:paraId="11072474">
      <w:pPr>
        <w:pStyle w:val="11"/>
        <w:jc w:val="left"/>
      </w:pPr>
      <w:r>
        <w:rPr>
          <w:rFonts w:hint="eastAsia"/>
        </w:rPr>
        <w:t xml:space="preserve">    2、制造厂的检验、测试报告、产品检验合格证书</w:t>
      </w:r>
      <w:r>
        <w:rPr>
          <w:rFonts w:hint="eastAsia"/>
          <w:lang w:eastAsia="zh-CN"/>
        </w:rPr>
        <w:t>、</w:t>
      </w:r>
      <w:r>
        <w:rPr>
          <w:rFonts w:hint="eastAsia"/>
          <w:lang w:val="en-US" w:eastAsia="zh-CN"/>
        </w:rPr>
        <w:t>产品检定、校准证书</w:t>
      </w:r>
      <w:r>
        <w:rPr>
          <w:rFonts w:hint="eastAsia"/>
        </w:rPr>
        <w:t>等；</w:t>
      </w:r>
    </w:p>
    <w:p w14:paraId="0D2BEFFC">
      <w:pPr>
        <w:pStyle w:val="11"/>
        <w:jc w:val="left"/>
      </w:pPr>
      <w:r>
        <w:rPr>
          <w:rFonts w:hint="eastAsia"/>
        </w:rPr>
        <w:t xml:space="preserve">    3、产品的执行标准；</w:t>
      </w:r>
    </w:p>
    <w:p w14:paraId="1E526AB3">
      <w:pPr>
        <w:pStyle w:val="11"/>
        <w:jc w:val="left"/>
      </w:pPr>
      <w:r>
        <w:rPr>
          <w:rFonts w:hint="eastAsia"/>
        </w:rPr>
        <w:t xml:space="preserve">    4、进口产品需要提供报关单、关税缴纳凭证；</w:t>
      </w:r>
    </w:p>
    <w:p w14:paraId="7B821669">
      <w:pPr>
        <w:pStyle w:val="11"/>
        <w:jc w:val="left"/>
      </w:pPr>
      <w:r>
        <w:rPr>
          <w:rFonts w:hint="eastAsia"/>
        </w:rPr>
        <w:t xml:space="preserve">    5、其他文件资料等。</w:t>
      </w:r>
    </w:p>
    <w:p w14:paraId="64D29594">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十三、质量保证</w:t>
      </w:r>
    </w:p>
    <w:p w14:paraId="2E9727A6">
      <w:pPr>
        <w:pStyle w:val="11"/>
        <w:jc w:val="left"/>
      </w:pPr>
      <w:r>
        <w:rPr>
          <w:rFonts w:hint="eastAsia"/>
        </w:rPr>
        <w:t xml:space="preserve">    1、供应商提供的产品及材料必须保证质量可靠，为市场最新或主流产品，进货渠道正常，配置合理齐全，应全面满足要求，未明确要求的内容，须按产品主流标准配置或以采购人的补充要求为准。所供产品工艺质量应严格按国家最新发布的规范标准执行，如发生质量问题由供应商承担全部责任；</w:t>
      </w:r>
    </w:p>
    <w:p w14:paraId="314C1869">
      <w:pPr>
        <w:pStyle w:val="11"/>
        <w:jc w:val="left"/>
      </w:pPr>
      <w:r>
        <w:rPr>
          <w:rFonts w:hint="eastAsia"/>
        </w:rPr>
        <w:t xml:space="preserve">    2、供应商应保证合同项下所供产品是供应商响应和本合同约定的厂家和产地生产的，全新未使用过的，并完全符合合同规定的质量、规格等要求；</w:t>
      </w:r>
    </w:p>
    <w:p w14:paraId="18ED6453">
      <w:pPr>
        <w:pStyle w:val="11"/>
        <w:jc w:val="left"/>
      </w:pPr>
      <w:r>
        <w:rPr>
          <w:rFonts w:hint="eastAsia"/>
        </w:rPr>
        <w:t xml:space="preserve">    3、采购人使用产品过程中因产品质量、产品缺陷及安装质量等造成人身伤亡、财产损失的，由供应商负责解决并承担全部责任。</w:t>
      </w:r>
    </w:p>
    <w:p w14:paraId="039D5DA1">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十四</w:t>
      </w:r>
      <w:r>
        <w:rPr>
          <w:rFonts w:asciiTheme="minorEastAsia" w:hAnsiTheme="minorEastAsia" w:eastAsiaTheme="minorEastAsia" w:cstheme="minorEastAsia"/>
          <w:b/>
          <w:color w:val="auto"/>
          <w:sz w:val="24"/>
        </w:rPr>
        <w:t>、</w:t>
      </w:r>
      <w:r>
        <w:rPr>
          <w:rFonts w:hint="eastAsia" w:asciiTheme="minorEastAsia" w:hAnsiTheme="minorEastAsia" w:eastAsiaTheme="minorEastAsia" w:cstheme="minorEastAsia"/>
          <w:b/>
          <w:color w:val="auto"/>
          <w:sz w:val="24"/>
        </w:rPr>
        <w:t>售后服务（提供售后服务承诺书）</w:t>
      </w:r>
    </w:p>
    <w:p w14:paraId="05AF6827">
      <w:pPr>
        <w:pStyle w:val="12"/>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1、供应商应提供可承担维修职能的公司或全资子或分公司或办事处，并驻守多名维护技术人员，并提供售后服务地点、联系人（常驻工程师）及联系电话（服务热线），随时解答各种疑问、提供技术支持；</w:t>
      </w:r>
    </w:p>
    <w:p w14:paraId="746A99AB">
      <w:pPr>
        <w:pStyle w:val="12"/>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服务方式：现场＋远程服务，响应时间为全年7×24小时；</w:t>
      </w:r>
    </w:p>
    <w:p w14:paraId="05AD1E51">
      <w:pPr>
        <w:pStyle w:val="12"/>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2、软件由厂家提供终身免费维护和系统升级；</w:t>
      </w:r>
    </w:p>
    <w:p w14:paraId="6A42FD91">
      <w:pPr>
        <w:pStyle w:val="12"/>
        <w:jc w:val="left"/>
        <w:outlineLvl w:val="9"/>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 xml:space="preserve">    3、</w:t>
      </w:r>
      <w:r>
        <w:rPr>
          <w:rFonts w:asciiTheme="minorEastAsia" w:hAnsiTheme="minorEastAsia" w:eastAsiaTheme="minorEastAsia" w:cstheme="minorEastAsia"/>
          <w:bCs/>
          <w:color w:val="auto"/>
          <w:sz w:val="24"/>
        </w:rPr>
        <w:t>质保期：</w:t>
      </w:r>
    </w:p>
    <w:p w14:paraId="4195CBB5">
      <w:pPr>
        <w:pStyle w:val="11"/>
        <w:jc w:val="left"/>
      </w:pPr>
      <w:r>
        <w:rPr>
          <w:rFonts w:hint="eastAsia"/>
        </w:rPr>
        <w:t xml:space="preserve">    </w:t>
      </w:r>
      <w:r>
        <w:t>①质保期内出现质量问题或发生故障，供应商应按采购人的要求免费更换或维修，响应时间≤2小时，产生的所有费用均有供应商承担</w:t>
      </w:r>
      <w:r>
        <w:rPr>
          <w:rFonts w:hint="eastAsia"/>
        </w:rPr>
        <w:t>；</w:t>
      </w:r>
    </w:p>
    <w:p w14:paraId="3DBF358C">
      <w:pPr>
        <w:pStyle w:val="11"/>
        <w:jc w:val="left"/>
      </w:pPr>
      <w:r>
        <w:rPr>
          <w:rFonts w:hint="eastAsia"/>
        </w:rPr>
        <w:t xml:space="preserve">    </w:t>
      </w:r>
      <w:r>
        <w:t>②若采购人认为故障不能远程解决时，维修工程师抵达现场时间≤12小时</w:t>
      </w:r>
      <w:r>
        <w:rPr>
          <w:rFonts w:hint="eastAsia"/>
        </w:rPr>
        <w:t>；</w:t>
      </w:r>
    </w:p>
    <w:p w14:paraId="263079B5">
      <w:pPr>
        <w:pStyle w:val="11"/>
        <w:ind w:firstLine="480"/>
        <w:jc w:val="left"/>
      </w:pPr>
      <w:r>
        <w:t>③若故障在24小时内无法排除时，供应商必须向采购人提供书面报告，包括故障原因及分析、处理措施、解决时间</w:t>
      </w:r>
      <w:r>
        <w:rPr>
          <w:rFonts w:hint="eastAsia"/>
        </w:rPr>
        <w:t>；</w:t>
      </w:r>
    </w:p>
    <w:p w14:paraId="2DFA1FCC">
      <w:pPr>
        <w:pStyle w:val="11"/>
        <w:ind w:firstLine="480"/>
        <w:jc w:val="left"/>
      </w:pPr>
      <w:r>
        <w:t>④若解决故障时间超过48小时，采购人有权自行委托第三方进行维修，所产生的费用由供应商承担</w:t>
      </w:r>
      <w:r>
        <w:rPr>
          <w:rFonts w:hint="eastAsia"/>
        </w:rPr>
        <w:t>；</w:t>
      </w:r>
    </w:p>
    <w:p w14:paraId="7B639BE0">
      <w:pPr>
        <w:pStyle w:val="11"/>
        <w:jc w:val="left"/>
      </w:pPr>
      <w:r>
        <w:rPr>
          <w:rFonts w:hint="eastAsia"/>
        </w:rPr>
        <w:t xml:space="preserve">    </w:t>
      </w:r>
      <w:r>
        <w:t>⑤质保期到期前，由供应商免费对所供产品进行全面维护保养，确保设备处于正常运行状态</w:t>
      </w:r>
      <w:r>
        <w:rPr>
          <w:rFonts w:hint="eastAsia"/>
        </w:rPr>
        <w:t>；</w:t>
      </w:r>
    </w:p>
    <w:p w14:paraId="231A8F94">
      <w:pPr>
        <w:pStyle w:val="11"/>
        <w:jc w:val="left"/>
      </w:pPr>
      <w:r>
        <w:rPr>
          <w:rFonts w:hint="eastAsia"/>
        </w:rPr>
        <w:t xml:space="preserve">    </w:t>
      </w:r>
      <w:r>
        <w:t>⑥质保期内若出现更换产品或主要部件的情况，应重新进行检定或校准并验收，产生的所有费用由供应商承担，质保期自验收合格之日起重新计算。</w:t>
      </w:r>
    </w:p>
    <w:p w14:paraId="3D927103">
      <w:pPr>
        <w:pStyle w:val="11"/>
        <w:ind w:firstLine="480"/>
        <w:jc w:val="left"/>
      </w:pPr>
      <w:r>
        <w:rPr>
          <w:rFonts w:hint="eastAsia"/>
          <w:lang w:val="en-US" w:eastAsia="zh-CN"/>
        </w:rPr>
        <w:t>4</w:t>
      </w:r>
      <w:r>
        <w:rPr>
          <w:rFonts w:hint="eastAsia"/>
        </w:rPr>
        <w:t>、所提供的服务内容应严格按照国家最新发布的规范标准执行，符合采购人的理念及要求，如发生质量问题由供应商承担全部责任；</w:t>
      </w:r>
    </w:p>
    <w:p w14:paraId="513EBF2E">
      <w:pPr>
        <w:pStyle w:val="11"/>
        <w:ind w:firstLine="480"/>
        <w:jc w:val="left"/>
      </w:pPr>
      <w:r>
        <w:rPr>
          <w:rFonts w:hint="eastAsia"/>
          <w:lang w:val="en-US" w:eastAsia="zh-CN"/>
        </w:rPr>
        <w:t>5</w:t>
      </w:r>
      <w:r>
        <w:rPr>
          <w:rFonts w:hint="eastAsia"/>
        </w:rPr>
        <w:t>、维保期以中标供应商的投标文件为准。</w:t>
      </w:r>
    </w:p>
    <w:p w14:paraId="3837D8DF">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十五、保密</w:t>
      </w:r>
    </w:p>
    <w:p w14:paraId="3BCF15AC">
      <w:pPr>
        <w:pStyle w:val="11"/>
        <w:jc w:val="left"/>
      </w:pPr>
      <w:r>
        <w:rPr>
          <w:rFonts w:hint="eastAsia"/>
        </w:rPr>
        <w:t xml:space="preserve">    供应商须严格保密对工作中了解到的采购人的技术、机密等信息，不得向他人泄漏。本合同的解除或终止不免除供应商应承担的保密义务。</w:t>
      </w:r>
    </w:p>
    <w:p w14:paraId="6FE5893E">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十六、知识产权</w:t>
      </w:r>
    </w:p>
    <w:p w14:paraId="79E50846">
      <w:pPr>
        <w:pStyle w:val="11"/>
        <w:jc w:val="left"/>
      </w:pPr>
      <w:r>
        <w:rPr>
          <w:rFonts w:hint="eastAsia"/>
        </w:rPr>
        <w:t xml:space="preserve">    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w:t>
      </w:r>
    </w:p>
    <w:p w14:paraId="24D1C9AA">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十七、双方承诺</w:t>
      </w:r>
    </w:p>
    <w:p w14:paraId="56D9B5FA">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1、供应商向采购人承诺，按照本合同约定提供相关产品和服务；</w:t>
      </w:r>
    </w:p>
    <w:p w14:paraId="6EA0FC8A">
      <w:pPr>
        <w:adjustRightInd w:val="0"/>
        <w:snapToGrid w:val="0"/>
        <w:spacing w:line="360" w:lineRule="auto"/>
        <w:ind w:firstLine="480" w:firstLineChars="200"/>
        <w:rPr>
          <w:rFonts w:asciiTheme="minorEastAsia" w:hAnsiTheme="minorEastAsia" w:eastAsiaTheme="minorEastAsia" w:cstheme="minorEastAsia"/>
          <w:bCs/>
          <w:color w:val="auto"/>
          <w:sz w:val="24"/>
        </w:rPr>
      </w:pPr>
      <w:r>
        <w:rPr>
          <w:rFonts w:hint="eastAsia" w:asciiTheme="minorEastAsia" w:hAnsiTheme="minorEastAsia" w:eastAsiaTheme="minorEastAsia" w:cstheme="minorEastAsia"/>
          <w:bCs/>
          <w:color w:val="auto"/>
          <w:sz w:val="24"/>
        </w:rPr>
        <w:t>2、采购人向供应商承诺，按照本合同约定支付相关款项。</w:t>
      </w:r>
    </w:p>
    <w:p w14:paraId="013BBBCC">
      <w:pPr>
        <w:adjustRightInd w:val="0"/>
        <w:snapToGrid w:val="0"/>
        <w:spacing w:line="360" w:lineRule="auto"/>
        <w:outlineLvl w:val="0"/>
        <w:rPr>
          <w:rFonts w:asciiTheme="minorEastAsia" w:hAnsiTheme="minorEastAsia" w:eastAsiaTheme="minorEastAsia" w:cstheme="minorEastAsia"/>
          <w:b/>
          <w:color w:val="auto"/>
          <w:sz w:val="24"/>
        </w:rPr>
      </w:pPr>
      <w:r>
        <w:rPr>
          <w:rFonts w:asciiTheme="minorEastAsia" w:hAnsiTheme="minorEastAsia" w:eastAsiaTheme="minorEastAsia" w:cstheme="minorEastAsia"/>
          <w:b/>
          <w:color w:val="auto"/>
          <w:sz w:val="24"/>
        </w:rPr>
        <w:t>十</w:t>
      </w:r>
      <w:r>
        <w:rPr>
          <w:rFonts w:hint="eastAsia" w:asciiTheme="minorEastAsia" w:hAnsiTheme="minorEastAsia" w:eastAsiaTheme="minorEastAsia" w:cstheme="minorEastAsia"/>
          <w:b/>
          <w:color w:val="auto"/>
          <w:sz w:val="24"/>
        </w:rPr>
        <w:t>八</w:t>
      </w:r>
      <w:r>
        <w:rPr>
          <w:rFonts w:asciiTheme="minorEastAsia" w:hAnsiTheme="minorEastAsia" w:eastAsiaTheme="minorEastAsia" w:cstheme="minorEastAsia"/>
          <w:b/>
          <w:color w:val="auto"/>
          <w:sz w:val="24"/>
        </w:rPr>
        <w:t>、违约责任</w:t>
      </w:r>
    </w:p>
    <w:p w14:paraId="7F733BE8">
      <w:pPr>
        <w:pStyle w:val="12"/>
        <w:jc w:val="left"/>
        <w:outlineLvl w:val="9"/>
        <w:rPr>
          <w:rFonts w:asciiTheme="minorEastAsia" w:hAnsiTheme="minorEastAsia" w:eastAsiaTheme="minorEastAsia"/>
          <w:sz w:val="24"/>
        </w:rPr>
      </w:pPr>
      <w:r>
        <w:rPr>
          <w:rFonts w:hint="eastAsia" w:asciiTheme="minorEastAsia" w:hAnsiTheme="minorEastAsia" w:eastAsiaTheme="minorEastAsia"/>
          <w:sz w:val="24"/>
        </w:rPr>
        <w:t xml:space="preserve">    1、按《中华人民共和国政府采购法》、《中华人民共和国民法典》中的相关条款和本合同约定执行；</w:t>
      </w:r>
    </w:p>
    <w:p w14:paraId="2976E089">
      <w:pPr>
        <w:pStyle w:val="12"/>
        <w:jc w:val="left"/>
        <w:outlineLvl w:val="9"/>
        <w:rPr>
          <w:rFonts w:asciiTheme="minorEastAsia" w:hAnsiTheme="minorEastAsia" w:eastAsiaTheme="minorEastAsia"/>
          <w:sz w:val="24"/>
        </w:rPr>
      </w:pPr>
      <w:r>
        <w:rPr>
          <w:rFonts w:hint="eastAsia" w:asciiTheme="minorEastAsia" w:hAnsiTheme="minorEastAsia" w:eastAsiaTheme="minorEastAsia"/>
          <w:sz w:val="24"/>
        </w:rPr>
        <w:t xml:space="preserve">    2、供应商履约延误：</w:t>
      </w:r>
    </w:p>
    <w:p w14:paraId="1954FD0D">
      <w:pPr>
        <w:pStyle w:val="12"/>
        <w:outlineLvl w:val="9"/>
        <w:rPr>
          <w:rFonts w:asciiTheme="minorEastAsia" w:hAnsiTheme="minorEastAsia" w:eastAsiaTheme="minorEastAsia"/>
          <w:sz w:val="24"/>
        </w:rPr>
      </w:pPr>
      <w:r>
        <w:rPr>
          <w:rFonts w:hint="eastAsia" w:cs="宋体" w:asciiTheme="minorEastAsia" w:hAnsiTheme="minorEastAsia" w:eastAsiaTheme="minorEastAsia"/>
          <w:bCs/>
          <w:sz w:val="24"/>
        </w:rPr>
        <w:t xml:space="preserve">    ①</w:t>
      </w:r>
      <w:r>
        <w:rPr>
          <w:rFonts w:hint="eastAsia" w:asciiTheme="minorEastAsia" w:hAnsiTheme="minorEastAsia" w:eastAsiaTheme="minorEastAsia"/>
          <w:sz w:val="24"/>
        </w:rPr>
        <w:t>如供应商事先未征得采购人同意并未得到采购人的谅解而单方面延迟交货，将按违约终止合同；</w:t>
      </w:r>
    </w:p>
    <w:p w14:paraId="56284D9A">
      <w:pPr>
        <w:pStyle w:val="11"/>
        <w:ind w:firstLine="480"/>
        <w:jc w:val="left"/>
      </w:pPr>
      <w:r>
        <w:rPr>
          <w:rFonts w:hint="eastAsia" w:cs="宋体"/>
        </w:rPr>
        <w:t>②</w:t>
      </w:r>
      <w:r>
        <w:rPr>
          <w:rFonts w:hint="eastAsia"/>
        </w:rPr>
        <w:t>在履行合同过程中，如果供应商遇到可能妨碍按时交货和提供服务的情况，应及时以书面形式将拖延的事实、可能拖延的期限和理由通知采购人。采购人在收到供应商通知后，应尽快对情况进行评价，并确定是否酌情延长交货时间。若采购人不同意延长交货时间，由供应商支付延期交货的违约金，采购人可在合同未付款中扣除延期交货的违约金，</w:t>
      </w:r>
      <w:r>
        <w:t>每延期交货一天按合同总价款的1%向采购人支付违约金，该违约金由采购人在应支付货款中直接扣除，供应商对此无任何异议</w:t>
      </w:r>
      <w:r>
        <w:rPr>
          <w:rFonts w:hint="eastAsia"/>
        </w:rPr>
        <w:t>；</w:t>
      </w:r>
    </w:p>
    <w:p w14:paraId="4E7D3E0F">
      <w:pPr>
        <w:pStyle w:val="11"/>
        <w:jc w:val="both"/>
      </w:pPr>
      <w:r>
        <w:rPr>
          <w:rFonts w:hint="eastAsia"/>
        </w:rPr>
        <w:t xml:space="preserve">    3、如整机验收不合格，且</w:t>
      </w:r>
      <w:r>
        <w:rPr>
          <w:rFonts w:hint="eastAsia"/>
          <w:lang w:val="en-US" w:eastAsia="zh-CN"/>
        </w:rPr>
        <w:t>供应商</w:t>
      </w:r>
      <w:r>
        <w:rPr>
          <w:rFonts w:hint="eastAsia"/>
        </w:rPr>
        <w:t>在规定的整改期内仍达不到验收标准的，视为</w:t>
      </w:r>
      <w:r>
        <w:rPr>
          <w:rFonts w:hint="eastAsia"/>
          <w:lang w:val="en-US" w:eastAsia="zh-CN"/>
        </w:rPr>
        <w:t>供应商</w:t>
      </w:r>
      <w:r>
        <w:rPr>
          <w:rFonts w:hint="eastAsia"/>
        </w:rPr>
        <w:t>延期交货，采购人可在合同未付款中直接扣除延期交货违约金，每延期一天按合同总价款的</w:t>
      </w:r>
      <w:r>
        <w:rPr>
          <w:rFonts w:hint="eastAsia"/>
          <w:lang w:val="en-US" w:eastAsia="zh-CN"/>
        </w:rPr>
        <w:t>1%</w:t>
      </w:r>
      <w:r>
        <w:rPr>
          <w:rFonts w:hint="eastAsia"/>
        </w:rPr>
        <w:t>扣除；同时，</w:t>
      </w:r>
      <w:r>
        <w:rPr>
          <w:rFonts w:hint="eastAsia"/>
          <w:lang w:val="en-US" w:eastAsia="zh-CN"/>
        </w:rPr>
        <w:t>供应商</w:t>
      </w:r>
      <w:r>
        <w:rPr>
          <w:rFonts w:hint="eastAsia"/>
        </w:rPr>
        <w:t>应向采购人重新更换和投标文件一致的同生产厂家、同品牌、同型号、同规格的全新产品；</w:t>
      </w:r>
    </w:p>
    <w:p w14:paraId="3E74EEA3">
      <w:pPr>
        <w:pStyle w:val="12"/>
        <w:ind w:firstLine="480" w:firstLineChars="200"/>
        <w:outlineLvl w:val="9"/>
      </w:pPr>
      <w:r>
        <w:rPr>
          <w:rFonts w:hint="eastAsia" w:asciiTheme="minorEastAsia" w:hAnsiTheme="minorEastAsia" w:eastAsiaTheme="minorEastAsia"/>
          <w:sz w:val="24"/>
        </w:rPr>
        <w:t>4、供应商未全面履行合同义务或者发生违约，采购单位会同采购代理机构有权终止合同，依法向成交供应商进行经济索赔，并报请政府采购监督管理机关进行相应的行政处罚。供应商应当赔偿采购人所有损失，包括但不限于诉讼费、律师费、差旅费、公告费、保全费、担保费等。</w:t>
      </w:r>
    </w:p>
    <w:p w14:paraId="27A2D93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十九、合同争议的解决</w:t>
      </w:r>
    </w:p>
    <w:p w14:paraId="0448C9B1">
      <w:pPr>
        <w:adjustRightInd w:val="0"/>
        <w:snapToGrid w:val="0"/>
        <w:spacing w:line="360" w:lineRule="auto"/>
        <w:ind w:firstLine="480" w:firstLineChars="200"/>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合同执行中发生争议的，当事人双方应协商解决，协商达不成一致时，可向采购人所在地人民法院提请诉讼。</w:t>
      </w:r>
    </w:p>
    <w:p w14:paraId="0C913CBB">
      <w:pPr>
        <w:adjustRightInd w:val="0"/>
        <w:snapToGrid w:val="0"/>
        <w:spacing w:line="360" w:lineRule="auto"/>
        <w:jc w:val="left"/>
        <w:outlineLvl w:val="0"/>
        <w:rPr>
          <w:rFonts w:asciiTheme="minorEastAsia" w:hAnsiTheme="minorEastAsia" w:eastAsiaTheme="minorEastAsia" w:cstheme="minorEastAsia"/>
          <w:b/>
          <w:bCs/>
          <w:color w:val="auto"/>
          <w:sz w:val="24"/>
        </w:rPr>
      </w:pPr>
      <w:r>
        <w:rPr>
          <w:rFonts w:hint="eastAsia" w:asciiTheme="minorEastAsia" w:hAnsiTheme="minorEastAsia" w:eastAsiaTheme="minorEastAsia" w:cstheme="minorEastAsia"/>
          <w:b/>
          <w:bCs/>
          <w:color w:val="auto"/>
          <w:sz w:val="24"/>
        </w:rPr>
        <w:t>二十、不可抗力情况下的免责约定</w:t>
      </w:r>
    </w:p>
    <w:p w14:paraId="0B86F971">
      <w:pPr>
        <w:adjustRightInd w:val="0"/>
        <w:snapToGrid w:val="0"/>
        <w:spacing w:line="360" w:lineRule="auto"/>
        <w:jc w:val="left"/>
        <w:rPr>
          <w:rFonts w:asciiTheme="minorEastAsia" w:hAnsiTheme="minorEastAsia" w:eastAsiaTheme="minorEastAsia" w:cstheme="minorEastAsia"/>
          <w:color w:val="auto"/>
          <w:sz w:val="24"/>
        </w:rPr>
      </w:pPr>
      <w:r>
        <w:rPr>
          <w:rFonts w:hint="eastAsia" w:asciiTheme="minorEastAsia" w:hAnsiTheme="minorEastAsia" w:eastAsiaTheme="minorEastAsia" w:cstheme="minorEastAsia"/>
          <w:color w:val="auto"/>
          <w:sz w:val="24"/>
        </w:rPr>
        <w:t xml:space="preserve">    双方约定不可抗力情况指：双方不可预见、不可避免、不可克服的客观情况，但不包括双方的违约或疏忽。这些事件包括：战争、严重火灾、洪水、台风、地震等。</w:t>
      </w:r>
    </w:p>
    <w:p w14:paraId="05C14F59">
      <w:pPr>
        <w:adjustRightInd w:val="0"/>
        <w:snapToGrid w:val="0"/>
        <w:spacing w:line="360" w:lineRule="auto"/>
        <w:outlineLvl w:val="0"/>
        <w:rPr>
          <w:rFonts w:asciiTheme="minorEastAsia" w:hAnsiTheme="minorEastAsia" w:eastAsiaTheme="minorEastAsia" w:cstheme="minorEastAsia"/>
          <w:b/>
          <w:color w:val="auto"/>
          <w:sz w:val="24"/>
        </w:rPr>
      </w:pPr>
      <w:r>
        <w:rPr>
          <w:rFonts w:hint="eastAsia" w:asciiTheme="minorEastAsia" w:hAnsiTheme="minorEastAsia" w:eastAsiaTheme="minorEastAsia" w:cstheme="minorEastAsia"/>
          <w:b/>
          <w:color w:val="auto"/>
          <w:sz w:val="24"/>
        </w:rPr>
        <w:t>二十一、合同订立</w:t>
      </w:r>
    </w:p>
    <w:p w14:paraId="5EB9795D">
      <w:pPr>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1、订立时间：</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年</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月</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日</w:t>
      </w:r>
    </w:p>
    <w:p w14:paraId="3E76FCCD">
      <w:pPr>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2、订立地点：</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u w:val="single"/>
          <w:lang w:val="en-US" w:eastAsia="zh-CN"/>
        </w:rPr>
        <w:t xml:space="preserve">                    </w:t>
      </w:r>
      <w:r>
        <w:rPr>
          <w:rFonts w:hint="eastAsia" w:cs="宋体" w:asciiTheme="minorEastAsia" w:hAnsiTheme="minorEastAsia" w:eastAsiaTheme="minorEastAsia"/>
          <w:sz w:val="24"/>
          <w:u w:val="single"/>
        </w:rPr>
        <w:t xml:space="preserve">  </w:t>
      </w:r>
    </w:p>
    <w:p w14:paraId="4EDEFBD7">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3、本合同一式</w:t>
      </w:r>
      <w:r>
        <w:rPr>
          <w:rFonts w:hint="eastAsia" w:cs="宋体" w:asciiTheme="minorEastAsia" w:hAnsiTheme="minorEastAsia" w:eastAsiaTheme="minorEastAsia"/>
          <w:b/>
          <w:sz w:val="24"/>
          <w:u w:val="single"/>
        </w:rPr>
        <w:t>陆</w:t>
      </w:r>
      <w:r>
        <w:rPr>
          <w:rFonts w:hint="eastAsia" w:cs="宋体" w:asciiTheme="minorEastAsia" w:hAnsiTheme="minorEastAsia" w:eastAsiaTheme="minorEastAsia"/>
          <w:sz w:val="24"/>
        </w:rPr>
        <w:t>份，具有同等法律效力，采供双方各执</w:t>
      </w:r>
      <w:r>
        <w:rPr>
          <w:rFonts w:hint="eastAsia" w:cs="宋体" w:asciiTheme="minorEastAsia" w:hAnsiTheme="minorEastAsia" w:eastAsiaTheme="minorEastAsia"/>
          <w:b/>
          <w:bCs/>
          <w:sz w:val="24"/>
          <w:u w:val="single"/>
          <w:lang w:eastAsia="zh-CN"/>
        </w:rPr>
        <w:t>叁</w:t>
      </w:r>
      <w:r>
        <w:rPr>
          <w:rFonts w:hint="eastAsia" w:cs="宋体" w:asciiTheme="minorEastAsia" w:hAnsiTheme="minorEastAsia" w:eastAsiaTheme="minorEastAsia"/>
          <w:sz w:val="24"/>
        </w:rPr>
        <w:t>份。各方法定代表人或者</w:t>
      </w:r>
      <w:r>
        <w:rPr>
          <w:rFonts w:hint="eastAsia" w:cs="宋体" w:asciiTheme="minorEastAsia" w:hAnsiTheme="minorEastAsia" w:eastAsiaTheme="minorEastAsia"/>
          <w:sz w:val="24"/>
          <w:lang w:val="en-US" w:eastAsia="zh-CN"/>
        </w:rPr>
        <w:t>授权</w:t>
      </w:r>
      <w:r>
        <w:rPr>
          <w:rFonts w:hint="eastAsia" w:cs="宋体" w:asciiTheme="minorEastAsia" w:hAnsiTheme="minorEastAsia" w:eastAsiaTheme="minorEastAsia"/>
          <w:sz w:val="24"/>
        </w:rPr>
        <w:t>代理人签字并盖章后生效，合同执行完毕自动失效。（合同的服务承诺长期有效）；</w:t>
      </w:r>
    </w:p>
    <w:p w14:paraId="269B5B42">
      <w:pPr>
        <w:tabs>
          <w:tab w:val="left" w:pos="980"/>
        </w:tabs>
        <w:kinsoku w:val="0"/>
        <w:adjustRightInd w:val="0"/>
        <w:snapToGrid w:val="0"/>
        <w:spacing w:line="360" w:lineRule="auto"/>
        <w:ind w:firstLine="480" w:firstLineChars="200"/>
        <w:jc w:val="left"/>
        <w:rPr>
          <w:rFonts w:cs="宋体" w:asciiTheme="minorEastAsia" w:hAnsiTheme="minorEastAsia" w:eastAsiaTheme="minorEastAsia"/>
          <w:sz w:val="24"/>
        </w:rPr>
      </w:pPr>
      <w:r>
        <w:rPr>
          <w:rFonts w:hint="eastAsia" w:cs="宋体" w:asciiTheme="minorEastAsia" w:hAnsiTheme="minorEastAsia" w:eastAsiaTheme="minorEastAsia"/>
          <w:sz w:val="24"/>
        </w:rPr>
        <w:t>4、除本合同约定，合同一经签订，不得擅自变更、中止或者终止合同。对确需变更、调整或者中止、终止合同的，应按规定履行相应的手续或签订补充协议。</w:t>
      </w:r>
    </w:p>
    <w:p w14:paraId="113ADF87">
      <w:pPr>
        <w:tabs>
          <w:tab w:val="left" w:pos="980"/>
        </w:tabs>
        <w:kinsoku w:val="0"/>
        <w:adjustRightInd w:val="0"/>
        <w:snapToGrid w:val="0"/>
        <w:spacing w:line="360" w:lineRule="auto"/>
        <w:jc w:val="left"/>
        <w:rPr>
          <w:rFonts w:cs="宋体" w:asciiTheme="minorEastAsia" w:hAnsiTheme="minorEastAsia" w:eastAsiaTheme="minorEastAsia"/>
          <w:sz w:val="24"/>
        </w:rPr>
      </w:pPr>
      <w:r>
        <w:rPr>
          <w:rFonts w:hint="eastAsia" w:cs="宋体" w:asciiTheme="minorEastAsia" w:hAnsiTheme="minorEastAsia" w:eastAsiaTheme="minorEastAsia"/>
          <w:sz w:val="24"/>
        </w:rPr>
        <w:t xml:space="preserve">   （以下无正文）</w:t>
      </w:r>
    </w:p>
    <w:p w14:paraId="1E3F53FD">
      <w:pPr>
        <w:tabs>
          <w:tab w:val="left" w:pos="980"/>
        </w:tabs>
        <w:kinsoku w:val="0"/>
        <w:spacing w:line="360" w:lineRule="auto"/>
        <w:jc w:val="left"/>
        <w:rPr>
          <w:rFonts w:ascii="仿宋_GB2312" w:hAnsi="宋体" w:eastAsia="仿宋_GB2312" w:cs="宋体"/>
          <w:sz w:val="24"/>
        </w:rPr>
      </w:pPr>
    </w:p>
    <w:p w14:paraId="5523CD52">
      <w:pPr>
        <w:rPr>
          <w:rFonts w:hint="eastAsia" w:cs="宋体" w:asciiTheme="minorEastAsia" w:hAnsiTheme="minorEastAsia" w:eastAsiaTheme="minorEastAsia"/>
          <w:b/>
          <w:sz w:val="24"/>
        </w:rPr>
      </w:pPr>
      <w:r>
        <w:rPr>
          <w:rFonts w:hint="eastAsia" w:cs="宋体" w:asciiTheme="minorEastAsia" w:hAnsiTheme="minorEastAsia" w:eastAsiaTheme="minorEastAsia"/>
          <w:b/>
          <w:sz w:val="24"/>
        </w:rPr>
        <w:br w:type="page"/>
      </w:r>
    </w:p>
    <w:p w14:paraId="24AD6311">
      <w:pPr>
        <w:adjustRightInd w:val="0"/>
        <w:snapToGrid w:val="0"/>
        <w:spacing w:line="360" w:lineRule="auto"/>
        <w:jc w:val="left"/>
        <w:rPr>
          <w:rFonts w:hint="default" w:cs="宋体" w:asciiTheme="minorEastAsia" w:hAnsiTheme="minorEastAsia" w:eastAsiaTheme="minorEastAsia"/>
          <w:sz w:val="24"/>
          <w:u w:val="single"/>
          <w:lang w:val="en-US" w:eastAsia="zh-CN"/>
        </w:rPr>
      </w:pPr>
      <w:bookmarkStart w:id="3" w:name="_GoBack"/>
      <w:bookmarkEnd w:id="3"/>
      <w:r>
        <w:rPr>
          <w:rFonts w:hint="eastAsia" w:cs="宋体" w:asciiTheme="minorEastAsia" w:hAnsiTheme="minorEastAsia" w:eastAsiaTheme="minorEastAsia"/>
          <w:b/>
          <w:sz w:val="24"/>
        </w:rPr>
        <w:t>采购人</w:t>
      </w:r>
      <w:r>
        <w:rPr>
          <w:rFonts w:hint="eastAsia" w:cs="宋体" w:asciiTheme="minorEastAsia" w:hAnsiTheme="minorEastAsia" w:eastAsiaTheme="minorEastAsia"/>
          <w:b w:val="0"/>
          <w:bCs/>
          <w:sz w:val="24"/>
          <w:lang w:val="en-US" w:eastAsia="zh-CN"/>
        </w:rPr>
        <w:t>(</w:t>
      </w:r>
      <w:r>
        <w:rPr>
          <w:rFonts w:hint="eastAsia" w:cs="宋体" w:asciiTheme="minorEastAsia" w:hAnsiTheme="minorEastAsia" w:eastAsiaTheme="minorEastAsia"/>
          <w:sz w:val="24"/>
        </w:rPr>
        <w:t>公章</w:t>
      </w:r>
      <w:r>
        <w:rPr>
          <w:rFonts w:hint="eastAsia" w:cs="宋体" w:asciiTheme="minorEastAsia" w:hAnsiTheme="minorEastAsia" w:eastAsiaTheme="minorEastAsia"/>
          <w:sz w:val="24"/>
          <w:lang w:val="en-US" w:eastAsia="zh-CN"/>
        </w:rPr>
        <w:t>):</w:t>
      </w:r>
      <w:r>
        <w:rPr>
          <w:rFonts w:hint="eastAsia" w:cs="宋体" w:asciiTheme="minorEastAsia" w:hAnsiTheme="minorEastAsia" w:eastAsiaTheme="minorEastAsia"/>
          <w:sz w:val="21"/>
          <w:szCs w:val="21"/>
          <w:u w:val="single"/>
          <w:lang w:val="en-US" w:eastAsia="zh-CN"/>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en-US" w:eastAsia="zh-CN"/>
        </w:rPr>
        <w:t xml:space="preserve"> </w:t>
      </w:r>
      <w:r>
        <w:rPr>
          <w:rFonts w:hint="eastAsia" w:cs="宋体" w:asciiTheme="minorEastAsia" w:hAnsiTheme="minorEastAsia" w:eastAsiaTheme="minorEastAsia"/>
          <w:b/>
          <w:sz w:val="24"/>
        </w:rPr>
        <w:t>供应商</w:t>
      </w:r>
      <w:r>
        <w:rPr>
          <w:rFonts w:hint="eastAsia" w:cs="宋体" w:asciiTheme="minorEastAsia" w:hAnsiTheme="minorEastAsia" w:eastAsiaTheme="minorEastAsia"/>
          <w:b w:val="0"/>
          <w:bCs/>
          <w:sz w:val="24"/>
          <w:lang w:val="en-US" w:eastAsia="zh-CN"/>
        </w:rPr>
        <w:t>(</w:t>
      </w:r>
      <w:r>
        <w:rPr>
          <w:rFonts w:hint="eastAsia" w:cs="宋体" w:asciiTheme="minorEastAsia" w:hAnsiTheme="minorEastAsia" w:eastAsiaTheme="minorEastAsia"/>
          <w:sz w:val="24"/>
        </w:rPr>
        <w:t>公章</w:t>
      </w:r>
      <w:r>
        <w:rPr>
          <w:rFonts w:hint="eastAsia" w:cs="宋体" w:asciiTheme="minorEastAsia" w:hAnsiTheme="minorEastAsia" w:eastAsiaTheme="minorEastAsia"/>
          <w:sz w:val="24"/>
          <w:lang w:val="en-US" w:eastAsia="zh-CN"/>
        </w:rPr>
        <w:t>):</w:t>
      </w:r>
      <w:r>
        <w:rPr>
          <w:rFonts w:hint="eastAsia" w:cs="宋体" w:asciiTheme="minorEastAsia" w:hAnsiTheme="minorEastAsia" w:eastAsiaTheme="minorEastAsia"/>
          <w:sz w:val="21"/>
          <w:szCs w:val="21"/>
          <w:u w:val="single"/>
          <w:lang w:val="en-US" w:eastAsia="zh-CN"/>
        </w:rPr>
        <w:t xml:space="preserve">                          </w:t>
      </w:r>
    </w:p>
    <w:p w14:paraId="2BFDE539">
      <w:pPr>
        <w:adjustRightInd w:val="0"/>
        <w:snapToGrid w:val="0"/>
        <w:spacing w:line="360" w:lineRule="auto"/>
        <w:ind w:left="4800" w:hanging="4800" w:hangingChars="2000"/>
        <w:jc w:val="left"/>
        <w:rPr>
          <w:rFonts w:cs="宋体" w:asciiTheme="minorEastAsia" w:hAnsiTheme="minorEastAsia" w:eastAsiaTheme="minorEastAsia"/>
          <w:sz w:val="24"/>
          <w:u w:val="single"/>
        </w:rPr>
      </w:pPr>
      <w:r>
        <w:rPr>
          <w:rFonts w:hint="eastAsia" w:cs="宋体" w:asciiTheme="minorEastAsia" w:hAnsiTheme="minorEastAsia" w:eastAsiaTheme="minorEastAsia"/>
          <w:sz w:val="24"/>
        </w:rPr>
        <w:t>地址：</w:t>
      </w:r>
      <w:r>
        <w:rPr>
          <w:rFonts w:hint="eastAsia" w:cs="宋体" w:asciiTheme="minorEastAsia" w:hAnsiTheme="minorEastAsia" w:eastAsiaTheme="minorEastAsia"/>
          <w:sz w:val="24"/>
          <w:u w:val="single"/>
          <w:lang w:val="en-US" w:eastAsia="zh-CN"/>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en-US" w:eastAsia="zh-CN"/>
        </w:rPr>
        <w:t xml:space="preserve">  </w:t>
      </w:r>
      <w:r>
        <w:rPr>
          <w:rFonts w:hint="eastAsia" w:cs="宋体" w:asciiTheme="minorEastAsia" w:hAnsiTheme="minorEastAsia" w:eastAsiaTheme="minorEastAsia"/>
          <w:sz w:val="24"/>
        </w:rPr>
        <w:t xml:space="preserve"> 地址：</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u w:val="single"/>
          <w:lang w:val="en-US" w:eastAsia="zh-CN"/>
        </w:rPr>
        <w:t xml:space="preserve">                              </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1"/>
          <w:szCs w:val="21"/>
          <w:u w:val="single"/>
        </w:rPr>
        <w:t xml:space="preserve">      </w:t>
      </w:r>
    </w:p>
    <w:p w14:paraId="21A814C9">
      <w:pPr>
        <w:adjustRightInd w:val="0"/>
        <w:snapToGrid w:val="0"/>
        <w:spacing w:line="360" w:lineRule="auto"/>
        <w:jc w:val="left"/>
        <w:rPr>
          <w:rFonts w:cs="宋体" w:asciiTheme="minorEastAsia" w:hAnsiTheme="minorEastAsia" w:eastAsiaTheme="minorEastAsia"/>
          <w:sz w:val="24"/>
        </w:rPr>
      </w:pPr>
      <w:r>
        <w:rPr>
          <w:rFonts w:hint="eastAsia" w:cs="宋体" w:asciiTheme="minorEastAsia" w:hAnsiTheme="minorEastAsia" w:eastAsiaTheme="minorEastAsia"/>
          <w:sz w:val="24"/>
        </w:rPr>
        <w:t>法定代表人或                     法定代表人或</w:t>
      </w:r>
    </w:p>
    <w:p w14:paraId="5D6CF61A">
      <w:pPr>
        <w:adjustRightInd w:val="0"/>
        <w:snapToGrid w:val="0"/>
        <w:spacing w:line="360" w:lineRule="auto"/>
        <w:jc w:val="left"/>
        <w:rPr>
          <w:rFonts w:cs="宋体" w:asciiTheme="minorEastAsia" w:hAnsiTheme="minorEastAsia" w:eastAsiaTheme="minorEastAsia"/>
          <w:sz w:val="24"/>
        </w:rPr>
      </w:pPr>
      <w:r>
        <w:rPr>
          <w:rFonts w:hint="eastAsia" w:cs="宋体" w:asciiTheme="minorEastAsia" w:hAnsiTheme="minorEastAsia" w:eastAsiaTheme="minorEastAsia"/>
          <w:sz w:val="24"/>
          <w:lang w:val="en-US" w:eastAsia="zh-CN"/>
        </w:rPr>
        <w:t>授权</w:t>
      </w:r>
      <w:r>
        <w:rPr>
          <w:rFonts w:hint="eastAsia" w:cs="宋体" w:asciiTheme="minorEastAsia" w:hAnsiTheme="minorEastAsia" w:eastAsiaTheme="minorEastAsia"/>
          <w:sz w:val="24"/>
        </w:rPr>
        <w:t xml:space="preserve">代理人（签字）：             </w:t>
      </w:r>
      <w:r>
        <w:rPr>
          <w:rFonts w:hint="eastAsia" w:cs="宋体" w:asciiTheme="minorEastAsia" w:hAnsiTheme="minorEastAsia" w:eastAsiaTheme="minorEastAsia"/>
          <w:sz w:val="24"/>
          <w:lang w:val="en-US" w:eastAsia="zh-CN"/>
        </w:rPr>
        <w:t>授权</w:t>
      </w:r>
      <w:r>
        <w:rPr>
          <w:rFonts w:hint="eastAsia" w:cs="宋体" w:asciiTheme="minorEastAsia" w:hAnsiTheme="minorEastAsia" w:eastAsiaTheme="minorEastAsia"/>
          <w:sz w:val="24"/>
        </w:rPr>
        <w:t>代理人（签字）：</w:t>
      </w:r>
    </w:p>
    <w:p w14:paraId="1E6B6DB3">
      <w:pPr>
        <w:adjustRightInd w:val="0"/>
        <w:snapToGrid w:val="0"/>
        <w:spacing w:line="360" w:lineRule="auto"/>
        <w:jc w:val="left"/>
        <w:rPr>
          <w:rFonts w:cs="宋体" w:asciiTheme="minorEastAsia" w:hAnsiTheme="minorEastAsia" w:eastAsiaTheme="minorEastAsia"/>
          <w:sz w:val="24"/>
          <w:u w:val="single"/>
        </w:rPr>
      </w:pPr>
      <w:r>
        <w:rPr>
          <w:rFonts w:hint="eastAsia" w:cs="宋体" w:asciiTheme="minorEastAsia" w:hAnsiTheme="minorEastAsia" w:eastAsiaTheme="minorEastAsia"/>
          <w:sz w:val="24"/>
        </w:rPr>
        <w:t>电话：</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u w:val="single"/>
          <w:lang w:val="en-US" w:eastAsia="zh-CN"/>
        </w:rPr>
        <w:t xml:space="preserve"> </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rPr>
        <w:t xml:space="preserve">   </w:t>
      </w:r>
      <w:r>
        <w:rPr>
          <w:rFonts w:hint="eastAsia" w:cs="宋体" w:asciiTheme="minorEastAsia" w:hAnsiTheme="minorEastAsia" w:eastAsiaTheme="minorEastAsia"/>
          <w:sz w:val="24"/>
          <w:lang w:val="en-US" w:eastAsia="zh-CN"/>
        </w:rPr>
        <w:t xml:space="preserve">            </w:t>
      </w:r>
      <w:r>
        <w:rPr>
          <w:rFonts w:hint="eastAsia" w:cs="宋体" w:asciiTheme="minorEastAsia" w:hAnsiTheme="minorEastAsia" w:eastAsiaTheme="minorEastAsia"/>
          <w:sz w:val="24"/>
        </w:rPr>
        <w:t>电话：</w:t>
      </w:r>
      <w:r>
        <w:rPr>
          <w:rFonts w:hint="eastAsia" w:cs="宋体" w:asciiTheme="minorEastAsia" w:hAnsiTheme="minorEastAsia" w:eastAsiaTheme="minorEastAsia"/>
          <w:sz w:val="24"/>
          <w:u w:val="single"/>
        </w:rPr>
        <w:t xml:space="preserve">  </w:t>
      </w:r>
      <w:r>
        <w:rPr>
          <w:rFonts w:hint="eastAsia" w:cs="宋体" w:asciiTheme="minorEastAsia" w:hAnsiTheme="minorEastAsia" w:eastAsiaTheme="minorEastAsia"/>
          <w:sz w:val="24"/>
          <w:u w:val="single"/>
          <w:lang w:val="en-US" w:eastAsia="zh-CN"/>
        </w:rPr>
        <w:t xml:space="preserve"> </w:t>
      </w:r>
      <w:r>
        <w:rPr>
          <w:rFonts w:hint="eastAsia" w:cs="宋体" w:asciiTheme="minorEastAsia" w:hAnsiTheme="minorEastAsia" w:eastAsiaTheme="minorEastAsia"/>
          <w:sz w:val="24"/>
          <w:u w:val="single"/>
        </w:rPr>
        <w:t xml:space="preserve">               </w:t>
      </w:r>
    </w:p>
    <w:p w14:paraId="243B2C1E">
      <w:pPr>
        <w:adjustRightInd w:val="0"/>
        <w:snapToGrid w:val="0"/>
        <w:spacing w:line="360" w:lineRule="auto"/>
        <w:jc w:val="left"/>
        <w:rPr>
          <w:rFonts w:cs="宋体" w:asciiTheme="minorEastAsia" w:hAnsiTheme="minorEastAsia" w:eastAsiaTheme="minorEastAsia"/>
          <w:sz w:val="24"/>
        </w:rPr>
      </w:pPr>
      <w:r>
        <w:rPr>
          <w:rFonts w:hint="eastAsia" w:cs="宋体" w:asciiTheme="minorEastAsia" w:hAnsiTheme="minorEastAsia" w:eastAsiaTheme="minorEastAsia"/>
          <w:sz w:val="24"/>
        </w:rPr>
        <w:t>日期：      年   月   日         日期：      年   月   日</w:t>
      </w:r>
    </w:p>
    <w:p w14:paraId="04980F1B">
      <w:pPr>
        <w:adjustRightInd w:val="0"/>
        <w:snapToGrid w:val="0"/>
        <w:spacing w:line="360" w:lineRule="auto"/>
        <w:jc w:val="left"/>
        <w:rPr>
          <w:rFonts w:cs="宋体" w:asciiTheme="minorEastAsia" w:hAnsiTheme="minorEastAsia" w:eastAsiaTheme="minorEastAsia"/>
          <w:sz w:val="24"/>
        </w:rPr>
      </w:pPr>
    </w:p>
    <w:p w14:paraId="6BF5206F"/>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31798F">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6E50DDD">
                          <w:pPr>
                            <w:pStyle w:val="7"/>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76E50DDD">
                    <w:pPr>
                      <w:pStyle w:val="7"/>
                    </w:pPr>
                    <w:r>
                      <w:t xml:space="preserve">第 </w:t>
                    </w:r>
                    <w:r>
                      <w:fldChar w:fldCharType="begin"/>
                    </w:r>
                    <w:r>
                      <w:instrText xml:space="preserve"> PAGE  \* MERGEFORMAT </w:instrText>
                    </w:r>
                    <w:r>
                      <w:fldChar w:fldCharType="separate"/>
                    </w:r>
                    <w:r>
                      <w:t>11</w:t>
                    </w:r>
                    <w:r>
                      <w:fldChar w:fldCharType="end"/>
                    </w:r>
                    <w:r>
                      <w:t xml:space="preserve"> 页 共 </w:t>
                    </w:r>
                    <w:r>
                      <w:fldChar w:fldCharType="begin"/>
                    </w:r>
                    <w:r>
                      <w:instrText xml:space="preserve"> NUMPAGES  \* MERGEFORMAT </w:instrText>
                    </w:r>
                    <w:r>
                      <w:fldChar w:fldCharType="separate"/>
                    </w:r>
                    <w:r>
                      <w:t>11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YzNjJjYjdlZjcxMjc4ODU1ZjU3ZmNkYzA3N2NjNmIifQ=="/>
  </w:docVars>
  <w:rsids>
    <w:rsidRoot w:val="000D339A"/>
    <w:rsid w:val="000140C4"/>
    <w:rsid w:val="0001538E"/>
    <w:rsid w:val="00033516"/>
    <w:rsid w:val="00044E73"/>
    <w:rsid w:val="000576BF"/>
    <w:rsid w:val="000670F1"/>
    <w:rsid w:val="00080C65"/>
    <w:rsid w:val="000A694C"/>
    <w:rsid w:val="000D0B47"/>
    <w:rsid w:val="000D339A"/>
    <w:rsid w:val="000D4A8D"/>
    <w:rsid w:val="00133933"/>
    <w:rsid w:val="00144513"/>
    <w:rsid w:val="00161381"/>
    <w:rsid w:val="001948BB"/>
    <w:rsid w:val="001C2331"/>
    <w:rsid w:val="001F729F"/>
    <w:rsid w:val="00216947"/>
    <w:rsid w:val="00217AEA"/>
    <w:rsid w:val="002271F6"/>
    <w:rsid w:val="0024391D"/>
    <w:rsid w:val="00295562"/>
    <w:rsid w:val="002A1E4D"/>
    <w:rsid w:val="002A217D"/>
    <w:rsid w:val="002A5855"/>
    <w:rsid w:val="002C0772"/>
    <w:rsid w:val="002D2FDB"/>
    <w:rsid w:val="002D685F"/>
    <w:rsid w:val="002F427A"/>
    <w:rsid w:val="00302ECD"/>
    <w:rsid w:val="003205A6"/>
    <w:rsid w:val="003209F7"/>
    <w:rsid w:val="003340C6"/>
    <w:rsid w:val="00351777"/>
    <w:rsid w:val="00354578"/>
    <w:rsid w:val="0037495B"/>
    <w:rsid w:val="003E1940"/>
    <w:rsid w:val="004148D4"/>
    <w:rsid w:val="00417106"/>
    <w:rsid w:val="0046593C"/>
    <w:rsid w:val="004A7651"/>
    <w:rsid w:val="004C601B"/>
    <w:rsid w:val="004F3D26"/>
    <w:rsid w:val="0054476A"/>
    <w:rsid w:val="005736B0"/>
    <w:rsid w:val="005B14E2"/>
    <w:rsid w:val="005F03B2"/>
    <w:rsid w:val="0061177C"/>
    <w:rsid w:val="00625131"/>
    <w:rsid w:val="006508FA"/>
    <w:rsid w:val="0067144C"/>
    <w:rsid w:val="006959D4"/>
    <w:rsid w:val="006A3320"/>
    <w:rsid w:val="006A50C7"/>
    <w:rsid w:val="006B6B35"/>
    <w:rsid w:val="00780320"/>
    <w:rsid w:val="007C6D03"/>
    <w:rsid w:val="007D7C04"/>
    <w:rsid w:val="007E3643"/>
    <w:rsid w:val="007E7306"/>
    <w:rsid w:val="008460B1"/>
    <w:rsid w:val="00851225"/>
    <w:rsid w:val="00861A0C"/>
    <w:rsid w:val="00862F4C"/>
    <w:rsid w:val="0086561C"/>
    <w:rsid w:val="00886FF8"/>
    <w:rsid w:val="009001B6"/>
    <w:rsid w:val="00905D20"/>
    <w:rsid w:val="009157DC"/>
    <w:rsid w:val="0093068C"/>
    <w:rsid w:val="00932F48"/>
    <w:rsid w:val="0094320B"/>
    <w:rsid w:val="009453FC"/>
    <w:rsid w:val="0099093B"/>
    <w:rsid w:val="009B253F"/>
    <w:rsid w:val="009B53B6"/>
    <w:rsid w:val="00A72B55"/>
    <w:rsid w:val="00A74A84"/>
    <w:rsid w:val="00AE4720"/>
    <w:rsid w:val="00B32013"/>
    <w:rsid w:val="00B42DB0"/>
    <w:rsid w:val="00B54321"/>
    <w:rsid w:val="00B57C64"/>
    <w:rsid w:val="00B63EA2"/>
    <w:rsid w:val="00B97C45"/>
    <w:rsid w:val="00BA0225"/>
    <w:rsid w:val="00BC1703"/>
    <w:rsid w:val="00BE4234"/>
    <w:rsid w:val="00BE6540"/>
    <w:rsid w:val="00C06770"/>
    <w:rsid w:val="00C27710"/>
    <w:rsid w:val="00C31EC8"/>
    <w:rsid w:val="00D21765"/>
    <w:rsid w:val="00D373F7"/>
    <w:rsid w:val="00D77118"/>
    <w:rsid w:val="00D9641A"/>
    <w:rsid w:val="00DE57B2"/>
    <w:rsid w:val="00E14D05"/>
    <w:rsid w:val="00E7117F"/>
    <w:rsid w:val="00E86743"/>
    <w:rsid w:val="00E86A79"/>
    <w:rsid w:val="00EA0DD7"/>
    <w:rsid w:val="00ED0750"/>
    <w:rsid w:val="00F219FE"/>
    <w:rsid w:val="00F408E0"/>
    <w:rsid w:val="00F572DB"/>
    <w:rsid w:val="00F9700F"/>
    <w:rsid w:val="00FB7839"/>
    <w:rsid w:val="00FD1F18"/>
    <w:rsid w:val="00FE646F"/>
    <w:rsid w:val="00FF0320"/>
    <w:rsid w:val="014D28C9"/>
    <w:rsid w:val="01C622FC"/>
    <w:rsid w:val="02A4476B"/>
    <w:rsid w:val="04F95F00"/>
    <w:rsid w:val="09EA33AB"/>
    <w:rsid w:val="0A6F565E"/>
    <w:rsid w:val="120945EA"/>
    <w:rsid w:val="157004D3"/>
    <w:rsid w:val="15D335B9"/>
    <w:rsid w:val="18A62B93"/>
    <w:rsid w:val="18B92634"/>
    <w:rsid w:val="1A27484D"/>
    <w:rsid w:val="1CC161ED"/>
    <w:rsid w:val="217A2E0F"/>
    <w:rsid w:val="21FE57EE"/>
    <w:rsid w:val="248D2E59"/>
    <w:rsid w:val="28285372"/>
    <w:rsid w:val="2879797C"/>
    <w:rsid w:val="292D30E8"/>
    <w:rsid w:val="29464D9B"/>
    <w:rsid w:val="29746395"/>
    <w:rsid w:val="2D3C33FD"/>
    <w:rsid w:val="2F665C5F"/>
    <w:rsid w:val="308137A2"/>
    <w:rsid w:val="31903F88"/>
    <w:rsid w:val="33E64529"/>
    <w:rsid w:val="367D7F0E"/>
    <w:rsid w:val="39096AFA"/>
    <w:rsid w:val="3C145CE9"/>
    <w:rsid w:val="3F1C2352"/>
    <w:rsid w:val="417C1E33"/>
    <w:rsid w:val="418331C2"/>
    <w:rsid w:val="41E3786C"/>
    <w:rsid w:val="42450447"/>
    <w:rsid w:val="43D929C8"/>
    <w:rsid w:val="452C57DA"/>
    <w:rsid w:val="465E7BAC"/>
    <w:rsid w:val="4820176A"/>
    <w:rsid w:val="4B577B99"/>
    <w:rsid w:val="4E1A4D68"/>
    <w:rsid w:val="53DD0E57"/>
    <w:rsid w:val="59B60181"/>
    <w:rsid w:val="60D809DC"/>
    <w:rsid w:val="613029F8"/>
    <w:rsid w:val="61377DF9"/>
    <w:rsid w:val="62EC076F"/>
    <w:rsid w:val="657131AE"/>
    <w:rsid w:val="68802085"/>
    <w:rsid w:val="6AD77F57"/>
    <w:rsid w:val="6B5425AA"/>
    <w:rsid w:val="6F9F7FC4"/>
    <w:rsid w:val="70C26581"/>
    <w:rsid w:val="71535E5D"/>
    <w:rsid w:val="724063E2"/>
    <w:rsid w:val="730613D9"/>
    <w:rsid w:val="74C32577"/>
    <w:rsid w:val="77B834D7"/>
    <w:rsid w:val="781933E9"/>
    <w:rsid w:val="791505C8"/>
    <w:rsid w:val="7A43562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color w:val="000000"/>
      <w:sz w:val="21"/>
      <w:szCs w:val="24"/>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bCs/>
      <w:kern w:val="44"/>
      <w:sz w:val="48"/>
      <w:szCs w:val="4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5">
    <w:name w:val="Document Map"/>
    <w:basedOn w:val="1"/>
    <w:link w:val="13"/>
    <w:qFormat/>
    <w:uiPriority w:val="0"/>
    <w:rPr>
      <w:rFonts w:ascii="宋体"/>
      <w:sz w:val="18"/>
      <w:szCs w:val="18"/>
    </w:rPr>
  </w:style>
  <w:style w:type="paragraph" w:styleId="6">
    <w:name w:val="Body Text"/>
    <w:basedOn w:val="1"/>
    <w:next w:val="1"/>
    <w:qFormat/>
    <w:uiPriority w:val="0"/>
    <w:pPr>
      <w:spacing w:after="120" w:line="360" w:lineRule="auto"/>
    </w:pPr>
    <w:rPr>
      <w:rFonts w:asciiTheme="minorHAnsi" w:hAnsiTheme="minorHAnsi" w:eastAsiaTheme="minorEastAsia" w:cstheme="minorBidi"/>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customStyle="1" w:styleId="11">
    <w:name w:val="null3"/>
    <w:autoRedefine/>
    <w:hidden/>
    <w:qFormat/>
    <w:uiPriority w:val="0"/>
    <w:pPr>
      <w:adjustRightInd w:val="0"/>
      <w:snapToGrid w:val="0"/>
      <w:spacing w:line="360" w:lineRule="auto"/>
      <w:jc w:val="center"/>
    </w:pPr>
    <w:rPr>
      <w:rFonts w:asciiTheme="minorEastAsia" w:hAnsiTheme="minorEastAsia" w:eastAsiaTheme="minorEastAsia" w:cstheme="minorEastAsia"/>
      <w:bCs/>
      <w:sz w:val="24"/>
      <w:szCs w:val="24"/>
      <w:lang w:val="en-US" w:eastAsia="zh-CN" w:bidi="ar-SA"/>
    </w:rPr>
  </w:style>
  <w:style w:type="paragraph" w:customStyle="1" w:styleId="12">
    <w:name w:val="正文缩进1"/>
    <w:basedOn w:val="1"/>
    <w:autoRedefine/>
    <w:qFormat/>
    <w:uiPriority w:val="0"/>
    <w:pPr>
      <w:spacing w:line="360" w:lineRule="auto"/>
      <w:outlineLvl w:val="0"/>
    </w:pPr>
  </w:style>
  <w:style w:type="character" w:customStyle="1" w:styleId="13">
    <w:name w:val="文档结构图 Char"/>
    <w:basedOn w:val="10"/>
    <w:link w:val="5"/>
    <w:qFormat/>
    <w:uiPriority w:val="0"/>
    <w:rPr>
      <w:rFonts w:ascii="宋体" w:hAnsi="Times New Roman" w:eastAsia="宋体" w:cs="Times New Roman"/>
      <w:color w:val="000000"/>
      <w:sz w:val="18"/>
      <w:szCs w:val="18"/>
    </w:rPr>
  </w:style>
  <w:style w:type="character" w:customStyle="1" w:styleId="14">
    <w:name w:val="页眉 Char"/>
    <w:basedOn w:val="10"/>
    <w:link w:val="8"/>
    <w:qFormat/>
    <w:uiPriority w:val="0"/>
    <w:rPr>
      <w:rFonts w:ascii="Times New Roman" w:hAnsi="Times New Roman" w:eastAsia="宋体" w:cs="Times New Roman"/>
      <w:color w:val="000000"/>
      <w:sz w:val="18"/>
      <w:szCs w:val="18"/>
    </w:rPr>
  </w:style>
  <w:style w:type="character" w:customStyle="1" w:styleId="15">
    <w:name w:val="页脚 Char"/>
    <w:basedOn w:val="10"/>
    <w:link w:val="7"/>
    <w:qFormat/>
    <w:uiPriority w:val="0"/>
    <w:rPr>
      <w:rFonts w:ascii="Times New Roman" w:hAnsi="Times New Roman" w:eastAsia="宋体" w:cs="Times New Roman"/>
      <w:color w:val="00000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9</Pages>
  <Words>4656</Words>
  <Characters>4669</Characters>
  <Lines>55</Lines>
  <Paragraphs>15</Paragraphs>
  <TotalTime>9</TotalTime>
  <ScaleCrop>false</ScaleCrop>
  <LinksUpToDate>false</LinksUpToDate>
  <CharactersWithSpaces>5501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2024-07-25T07:16:00Z</dcterms:created>
  <dc:creator>Lenovo</dc:creator>
  <cp:lastModifiedBy>H</cp:lastModifiedBy>
  <dcterms:modified xsi:type="dcterms:W3CDTF">2025-05-13T03:50:39Z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2AE5ADCD164F4374919643DDF8258F43_13</vt:lpwstr>
  </property>
  <property fmtid="{D5CDD505-2E9C-101B-9397-08002B2CF9AE}" pid="4" name="KSOTemplateDocerSaveRecord">
    <vt:lpwstr>eyJoZGlkIjoiNWVlZWQ2MGQxNmE1ODQyMmRiYjA3Yzk4MTMyMWVjOGQiLCJ1c2VySWQiOiI1MjUwOTc0MjQifQ==</vt:lpwstr>
  </property>
</Properties>
</file>