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版本号：SHMZ08（2025）第029号20250605001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呼气式酒精测试仪升级和新购置项目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SHMZ08（2025）第029号</w:t>
      </w:r>
      <w:r>
        <w:br/>
      </w:r>
      <w:r>
        <w:br/>
      </w:r>
      <w:r>
        <w:br/>
      </w:r>
    </w:p>
    <w:p>
      <w:pPr>
        <w:pStyle w:val="null3"/>
        <w:jc w:val="center"/>
        <w:outlineLvl w:val="2"/>
      </w:pPr>
      <w:r>
        <w:rPr>
          <w:rFonts w:ascii="仿宋_GB2312" w:hAnsi="仿宋_GB2312" w:cs="仿宋_GB2312" w:eastAsia="仿宋_GB2312"/>
          <w:sz w:val="28"/>
          <w:b/>
        </w:rPr>
        <w:t>西安市公安局交通管理支队</w:t>
      </w:r>
    </w:p>
    <w:p>
      <w:pPr>
        <w:pStyle w:val="null3"/>
        <w:jc w:val="center"/>
        <w:outlineLvl w:val="2"/>
      </w:pPr>
      <w:r>
        <w:rPr>
          <w:rFonts w:ascii="仿宋_GB2312" w:hAnsi="仿宋_GB2312" w:cs="仿宋_GB2312" w:eastAsia="仿宋_GB2312"/>
          <w:sz w:val="28"/>
          <w:b/>
        </w:rPr>
        <w:t>陕西华茂建设监理咨询有限公司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陕西华茂建设监理咨询有限公司</w:t>
      </w:r>
      <w:r>
        <w:rPr>
          <w:rFonts w:ascii="仿宋_GB2312" w:hAnsi="仿宋_GB2312" w:cs="仿宋_GB2312" w:eastAsia="仿宋_GB2312"/>
        </w:rPr>
        <w:t>（以下简称“代理机构”）受</w:t>
      </w:r>
      <w:r>
        <w:rPr>
          <w:rFonts w:ascii="仿宋_GB2312" w:hAnsi="仿宋_GB2312" w:cs="仿宋_GB2312" w:eastAsia="仿宋_GB2312"/>
        </w:rPr>
        <w:t>西安市公安局交通管理支队</w:t>
      </w:r>
      <w:r>
        <w:rPr>
          <w:rFonts w:ascii="仿宋_GB2312" w:hAnsi="仿宋_GB2312" w:cs="仿宋_GB2312" w:eastAsia="仿宋_GB2312"/>
        </w:rPr>
        <w:t>委托，拟对</w:t>
      </w:r>
      <w:r>
        <w:rPr>
          <w:rFonts w:ascii="仿宋_GB2312" w:hAnsi="仿宋_GB2312" w:cs="仿宋_GB2312" w:eastAsia="仿宋_GB2312"/>
        </w:rPr>
        <w:t>呼气式酒精测试仪升级和新购置项目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SHMZ08（2025）第029号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呼气式酒精测试仪升级和新购置项目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为确保酒醉驾查处工作顺利开展，有效提高执法监督效能，提升执法办案质量，现需购买“呼气式酒精测试仪升级和新购置项目”。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采购包1（呼气式酒精测试仪升级和新购置项目）：属于专门面向中小企业采购。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法定代表人授权书：供应商应授权合法的人员参加谈判全过程，其中法定代表人直接参加谈判的，须出具法定代表人身份证，并与营业执照上信息一致。法定代表人授权代表参加谈判的，须同时出具法定代表人授权书、授权代表身份证；</w:t>
      </w:r>
    </w:p>
    <w:p>
      <w:pPr>
        <w:pStyle w:val="null3"/>
      </w:pPr>
      <w:r>
        <w:rPr>
          <w:rFonts w:ascii="仿宋_GB2312" w:hAnsi="仿宋_GB2312" w:cs="仿宋_GB2312" w:eastAsia="仿宋_GB2312"/>
        </w:rPr>
        <w:t>3、税收缴纳证明：提供截止至开标时间前一年内任意一个月的缴纳凭据（任意税种），依法免税的供应商应提供相关文件证明；</w:t>
      </w:r>
    </w:p>
    <w:p>
      <w:pPr>
        <w:pStyle w:val="null3"/>
      </w:pPr>
      <w:r>
        <w:rPr>
          <w:rFonts w:ascii="仿宋_GB2312" w:hAnsi="仿宋_GB2312" w:cs="仿宋_GB2312" w:eastAsia="仿宋_GB2312"/>
        </w:rPr>
        <w:t>4、社会保障资金缴纳证明：提供截止至开标时间前一年内任意一个月的社保缴纳凭据或社保机构开具的社会保险参保缴纳情况证明，依法不需要缴纳社会保障资金的供应商应提供相关证明；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财务状况报告：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p>
      <w:pPr>
        <w:pStyle w:val="null3"/>
      </w:pPr>
      <w:r>
        <w:rPr>
          <w:rFonts w:ascii="仿宋_GB2312" w:hAnsi="仿宋_GB2312" w:cs="仿宋_GB2312" w:eastAsia="仿宋_GB2312"/>
        </w:rPr>
        <w:t>6、说明及承诺：提供具有履行合同所必需的设备和专业技术能力的说明及承诺；</w:t>
      </w:r>
    </w:p>
    <w:p>
      <w:pPr>
        <w:pStyle w:val="null3"/>
      </w:pPr>
      <w:r>
        <w:rPr>
          <w:rFonts w:ascii="仿宋_GB2312" w:hAnsi="仿宋_GB2312" w:cs="仿宋_GB2312" w:eastAsia="仿宋_GB2312"/>
        </w:rPr>
        <w:t>7、书面声明：提供参加政府采购活动前3年内在经营活动中没有重大违法记录的书面声明；</w:t>
      </w:r>
    </w:p>
    <w:p>
      <w:pPr>
        <w:pStyle w:val="null3"/>
      </w:pPr>
      <w:r>
        <w:rPr>
          <w:rFonts w:ascii="仿宋_GB2312" w:hAnsi="仿宋_GB2312" w:cs="仿宋_GB2312" w:eastAsia="仿宋_GB2312"/>
        </w:rPr>
        <w:t>8、信用记录：不得为“信用中国”网站(http：//www.creditch 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采购代理机构在谈判响应截止日当天在“信用中国”网站和中国政府采购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西安市公安局交通管理支队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西安市雁塔区太白南路222号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杨警官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029-86755266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陕西华茂建设监理咨询有限公司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西安市新城区东六路民安大厦二期五楼526室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029-89246265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说明：供应商提供合同总价的5%的履约保函，验收合格并通过结算审计之日起满1年后，如无质量等问题，10个工作日内返还。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在领取成交通知书前，须向采购代理机构一次性支付代理服务费。2、招标代理服务费：以预算金额为基数，参照国家计委颁发的《招标代理服务收费管理暂行办法》（计价格[2002]1980号）和国家发展和改革委员会办公厅颁发的《关于招标代理服务收费有关问题的通知》（发改办价格[2003]857号）的有关规定执行。（开户名称：陕西华茂建设监理咨询有限公司，开户银行：建行西安解放路支行，账户：61001713600052503482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西安市公安局交通管理支队</w:t>
      </w:r>
      <w:r>
        <w:rPr>
          <w:rFonts w:ascii="仿宋_GB2312" w:hAnsi="仿宋_GB2312" w:cs="仿宋_GB2312" w:eastAsia="仿宋_GB2312"/>
        </w:rPr>
        <w:t>和</w:t>
      </w:r>
      <w:r>
        <w:rPr>
          <w:rFonts w:ascii="仿宋_GB2312" w:hAnsi="仿宋_GB2312" w:cs="仿宋_GB2312" w:eastAsia="仿宋_GB2312"/>
        </w:rPr>
        <w:t>陕西华茂建设监理咨询有限公司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西安市公安局交通管理支队</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陕西华茂建设监理咨询有限公司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西安市公安局交通管理支队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陕西华茂建设监理咨询有限公司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西安市公安局交通管理支队</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陕西华茂建设监理咨询有限公司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联系人：刘瑛</w:t>
      </w:r>
    </w:p>
    <w:p>
      <w:pPr>
        <w:pStyle w:val="null3"/>
      </w:pPr>
      <w:r>
        <w:rPr>
          <w:rFonts w:ascii="仿宋_GB2312" w:hAnsi="仿宋_GB2312" w:cs="仿宋_GB2312" w:eastAsia="仿宋_GB2312"/>
        </w:rPr>
        <w:t>联系电话：02989246265</w:t>
      </w:r>
    </w:p>
    <w:p>
      <w:pPr>
        <w:pStyle w:val="null3"/>
      </w:pPr>
      <w:r>
        <w:rPr>
          <w:rFonts w:ascii="仿宋_GB2312" w:hAnsi="仿宋_GB2312" w:cs="仿宋_GB2312" w:eastAsia="仿宋_GB2312"/>
        </w:rPr>
        <w:t>地址：西安市新城区东六路民安大厦二期五楼526室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为确保酒醉驾查处工作顺利开展，有效提高执法监督效能，提升执法办案质量，现需购买“呼气式酒精测试仪升级和新购置项目”。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380,400.00</w:t>
      </w:r>
    </w:p>
    <w:p>
      <w:pPr>
        <w:pStyle w:val="null3"/>
      </w:pPr>
      <w:r>
        <w:rPr>
          <w:rFonts w:ascii="仿宋_GB2312" w:hAnsi="仿宋_GB2312" w:cs="仿宋_GB2312" w:eastAsia="仿宋_GB2312"/>
        </w:rPr>
        <w:t>采购包最高限价（元）: 380,400.00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呼气式酒精测试仪升级和新购置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标的名称：呼气式酒精测试仪升级和新购置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详见采购需求附件。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全部新购置设备配发到达采购人指定地点、旧设备升级完成并验收合格后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因平台格式限制，合同实际签订规定为：采购人应在成交通知书发出之日起25日内与成交供应商签订采购合同。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谈判全过程，其中法定代表人直接参加谈判的，须出具法定代表人身份证，并与营业执照上信息一致。法定代表人授权代表参加谈判的，须同时出具法定代表人授权书、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提供截止至开标时间前一年内任意一个月的缴纳凭据（任意税种），依法免税的供应商应提供相关文件证明；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提供截止至开标时间前一年内任意一个月的社保缴纳凭据或社保机构开具的社会保险参保缴纳情况证明，依法不需要缴纳社会保障资金的供应商应提供相关证明；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审计事务所出具的2023年度或2024年度的财务报告（成立时间至提交响应文件截止时间不足一年的可提供成立后任意时段的资产负债表）或在开标日期前六个月内其开户银行出具的资信证明，以上两种形式的资料提供任何一种即可（分支机构如无法提供财务审计报告，须出具包含分支机构的财务数据的总公司财务审计报告）；</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说明及承诺</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不得为“信用中国”网站(http：//www.creditch 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采购代理机构在谈判响应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响应文件格式、语言及有效期</w:t>
            </w:r>
          </w:p>
        </w:tc>
        <w:tc>
          <w:tcPr>
            <w:tcW w:type="dxa" w:w="3322"/>
          </w:tcPr>
          <w:p>
            <w:pPr>
              <w:pStyle w:val="null3"/>
            </w:pPr>
            <w:r>
              <w:rPr>
                <w:rFonts w:ascii="仿宋_GB2312" w:hAnsi="仿宋_GB2312" w:cs="仿宋_GB2312" w:eastAsia="仿宋_GB2312"/>
              </w:rPr>
              <w:t>响应文件格式、语言及有效期符合采购文件要求。格式、语言及有效期符合采购文件要求。</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响应文件封面、响应函、法定代表人授权委托书三处的项目名称、项目编号</w:t>
            </w:r>
          </w:p>
        </w:tc>
        <w:tc>
          <w:tcPr>
            <w:tcW w:type="dxa" w:w="3322"/>
          </w:tcPr>
          <w:p>
            <w:pPr>
              <w:pStyle w:val="null3"/>
            </w:pPr>
            <w:r>
              <w:rPr>
                <w:rFonts w:ascii="仿宋_GB2312" w:hAnsi="仿宋_GB2312" w:cs="仿宋_GB2312" w:eastAsia="仿宋_GB2312"/>
              </w:rPr>
              <w:t>三处均无遗漏，且与所参与项目名称、项目编号完全一致。</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第一次谈判报价表</w:t>
            </w:r>
          </w:p>
        </w:tc>
        <w:tc>
          <w:tcPr>
            <w:tcW w:type="dxa" w:w="3322"/>
          </w:tcPr>
          <w:p>
            <w:pPr>
              <w:pStyle w:val="null3"/>
            </w:pPr>
            <w:r>
              <w:rPr>
                <w:rFonts w:ascii="仿宋_GB2312" w:hAnsi="仿宋_GB2312" w:cs="仿宋_GB2312" w:eastAsia="仿宋_GB2312"/>
              </w:rPr>
              <w:t>（1）第一次谈判报价表填写符合要求；（2）计量单位、报价货币均符合采购文件要求；（3 ）第一次谈判报价未超出采购预算或采购文件规定的最高限价。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响应内容不存在漏项或数量与要求不符合采购文件规定情形，响应内容满足采购文件的商务、技术等实质性要求，不存在采购档次降低或影响采购性能、功能的情形。</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不存在其他不符合法律法规或采购文件规定的被视为无效响应的其他条款。</w:t>
            </w:r>
          </w:p>
        </w:tc>
        <w:tc>
          <w:tcPr>
            <w:tcW w:type="dxa" w:w="1661"/>
          </w:tcPr>
          <w:p>
            <w:pPr>
              <w:pStyle w:val="null3"/>
            </w:pPr>
            <w:r>
              <w:rPr>
                <w:rFonts w:ascii="仿宋_GB2312" w:hAnsi="仿宋_GB2312" w:cs="仿宋_GB2312" w:eastAsia="仿宋_GB2312"/>
              </w:rPr>
              <w:t>响应文件封面 产品技术参数表 供应商需要说明的其他情况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详见附件：供应商需要说明的其他情况</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