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版本号：2025XKR06720250606001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零星维修服务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2025XKR067</w:t>
      </w:r>
      <w:r>
        <w:br/>
      </w:r>
      <w:r>
        <w:br/>
      </w:r>
      <w:r>
        <w:br/>
      </w:r>
    </w:p>
    <w:p>
      <w:pPr>
        <w:pStyle w:val="null3"/>
        <w:jc w:val="center"/>
        <w:outlineLvl w:val="2"/>
      </w:pPr>
      <w:r>
        <w:rPr>
          <w:rFonts w:ascii="仿宋_GB2312" w:hAnsi="仿宋_GB2312" w:cs="仿宋_GB2312" w:eastAsia="仿宋_GB2312"/>
          <w:sz w:val="28"/>
          <w:b/>
        </w:rPr>
        <w:t>西安市精神卫生中心</w:t>
      </w:r>
    </w:p>
    <w:p>
      <w:pPr>
        <w:pStyle w:val="null3"/>
        <w:jc w:val="center"/>
        <w:outlineLvl w:val="2"/>
      </w:pPr>
      <w:r>
        <w:rPr>
          <w:rFonts w:ascii="仿宋_GB2312" w:hAnsi="仿宋_GB2312" w:cs="仿宋_GB2312" w:eastAsia="仿宋_GB2312"/>
          <w:sz w:val="28"/>
          <w:b/>
        </w:rPr>
        <w:t>赛科瑞项目管理有限公司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赛科瑞项目管理有限公司</w:t>
      </w:r>
      <w:r>
        <w:rPr>
          <w:rFonts w:ascii="仿宋_GB2312" w:hAnsi="仿宋_GB2312" w:cs="仿宋_GB2312" w:eastAsia="仿宋_GB2312"/>
        </w:rPr>
        <w:t>（以下简称“代理机构”）受</w:t>
      </w:r>
      <w:r>
        <w:rPr>
          <w:rFonts w:ascii="仿宋_GB2312" w:hAnsi="仿宋_GB2312" w:cs="仿宋_GB2312" w:eastAsia="仿宋_GB2312"/>
        </w:rPr>
        <w:t>西安市精神卫生中心</w:t>
      </w:r>
      <w:r>
        <w:rPr>
          <w:rFonts w:ascii="仿宋_GB2312" w:hAnsi="仿宋_GB2312" w:cs="仿宋_GB2312" w:eastAsia="仿宋_GB2312"/>
        </w:rPr>
        <w:t>委托，拟对</w:t>
      </w:r>
      <w:r>
        <w:rPr>
          <w:rFonts w:ascii="仿宋_GB2312" w:hAnsi="仿宋_GB2312" w:cs="仿宋_GB2312" w:eastAsia="仿宋_GB2312"/>
        </w:rPr>
        <w:t>零星维修服务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2025XKR067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零星维修服务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日常维修、巡检、院内零星用工及医院小型维修项目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采购包1（西安市精神卫生中心零星维修服务）：属于专门面向中小企业采购。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1、本采购包专门面向中小企业采购：参与的供应商（联合体）服务全部由符合政策要求的中小企业承接。</w:t>
      </w:r>
    </w:p>
    <w:p>
      <w:pPr>
        <w:pStyle w:val="null3"/>
      </w:pPr>
      <w:r>
        <w:rPr>
          <w:rFonts w:ascii="仿宋_GB2312" w:hAnsi="仿宋_GB2312" w:cs="仿宋_GB2312" w:eastAsia="仿宋_GB2312"/>
        </w:rPr>
        <w:t>2、中华人民共和国法律、行政法规规定的其他条件：1）供应商须具备建设行政主管部门颁发的建筑工程施工总承包三级及以上资质，具备合格有效的安全生产许可证； 2）供应商拟派项目经理须具备建筑工程专业二级及以上注册建造师资格，具备有效的安全生产考核合格证书； 3）供应商在陕西省建筑市场监管和诚信信息发布平台及全国建筑市场监管公共服务平台未被列为限制其参与投标的行为人； 4）省外进陕企业相关信息在陕西省住房和城乡建设厅网（http://js.shaanxi.gov.cn/）可查询； 5）本项目专门面向中小企业采购，供应商应提供中小企业声明函。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西安市精神卫生中心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西安市长安区康和路666号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西安市精神卫生中心经办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63609379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赛科瑞项目管理有限公司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陕西省西安市未央区未央城建大厦7层整层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骆秀亚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029-89373763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代理服务费收费标准：确定供应商后3日内，由供应商向采购代理机构参照国家相关标准下浮20%一次付清采购代理服务费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西安市精神卫生中心</w:t>
      </w:r>
      <w:r>
        <w:rPr>
          <w:rFonts w:ascii="仿宋_GB2312" w:hAnsi="仿宋_GB2312" w:cs="仿宋_GB2312" w:eastAsia="仿宋_GB2312"/>
        </w:rPr>
        <w:t>和</w:t>
      </w:r>
      <w:r>
        <w:rPr>
          <w:rFonts w:ascii="仿宋_GB2312" w:hAnsi="仿宋_GB2312" w:cs="仿宋_GB2312" w:eastAsia="仿宋_GB2312"/>
        </w:rPr>
        <w:t>赛科瑞项目管理有限公司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西安市精神卫生中心</w:t>
      </w:r>
      <w:r>
        <w:rPr>
          <w:rFonts w:ascii="仿宋_GB2312" w:hAnsi="仿宋_GB2312" w:cs="仿宋_GB2312" w:eastAsia="仿宋_GB2312"/>
        </w:rPr>
        <w:t>负责解释。除上述磋商文件内容，其他内容由</w:t>
      </w:r>
      <w:r>
        <w:rPr>
          <w:rFonts w:ascii="仿宋_GB2312" w:hAnsi="仿宋_GB2312" w:cs="仿宋_GB2312" w:eastAsia="仿宋_GB2312"/>
        </w:rPr>
        <w:t>赛科瑞项目管理有限公司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西安市精神卫生中心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赛科瑞项目管理有限公司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1、合同文本、合同附件、竞争性磋商文件、成交供应商的响应文件。 2、国内相应的标准、规范。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赛科瑞项目管理有限公司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赛科瑞项目管理有限公司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赛科瑞项目管理有限公司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联系人：骆秀亚</w:t>
      </w:r>
    </w:p>
    <w:p>
      <w:pPr>
        <w:pStyle w:val="null3"/>
      </w:pPr>
      <w:r>
        <w:rPr>
          <w:rFonts w:ascii="仿宋_GB2312" w:hAnsi="仿宋_GB2312" w:cs="仿宋_GB2312" w:eastAsia="仿宋_GB2312"/>
        </w:rPr>
        <w:t>联系电话：029-89373763</w:t>
      </w:r>
    </w:p>
    <w:p>
      <w:pPr>
        <w:pStyle w:val="null3"/>
      </w:pPr>
      <w:r>
        <w:rPr>
          <w:rFonts w:ascii="仿宋_GB2312" w:hAnsi="仿宋_GB2312" w:cs="仿宋_GB2312" w:eastAsia="仿宋_GB2312"/>
        </w:rPr>
        <w:t>地址：陕西省西安市未央区未央城建大厦7层整层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日常维修、巡检、院内零星用工及医院小型维修项目，确保医院正常运转。</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零星维修服务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标的名称：零星维修服务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r>
                    <w:rPr>
                      <w:rFonts w:ascii="仿宋_GB2312" w:hAnsi="仿宋_GB2312" w:cs="仿宋_GB2312" w:eastAsia="仿宋_GB2312"/>
                      <w:sz w:val="21"/>
                      <w:b/>
                      <w:color w:val="000000"/>
                    </w:rPr>
                    <w:t>项目具体情况及要求</w:t>
                  </w:r>
                </w:p>
                <w:p>
                  <w:pPr>
                    <w:pStyle w:val="null3"/>
                    <w:jc w:val="both"/>
                  </w:pPr>
                  <w:r>
                    <w:rPr>
                      <w:rFonts w:ascii="仿宋_GB2312" w:hAnsi="仿宋_GB2312" w:cs="仿宋_GB2312" w:eastAsia="仿宋_GB2312"/>
                      <w:sz w:val="21"/>
                      <w:b/>
                      <w:color w:val="000000"/>
                    </w:rPr>
                    <w:t>一、项目报价明细：</w:t>
                  </w:r>
                </w:p>
                <w:tbl>
                  <w:tblPr>
                    <w:tblBorders>
                      <w:top w:val="none" w:color="000000" w:sz="4"/>
                      <w:left w:val="none" w:color="000000" w:sz="4"/>
                      <w:bottom w:val="none" w:color="000000" w:sz="4"/>
                      <w:right w:val="none" w:color="000000" w:sz="4"/>
                      <w:insideH w:val="none"/>
                      <w:insideV w:val="none"/>
                    </w:tblBorders>
                  </w:tblPr>
                  <w:tblGrid>
                    <w:gridCol w:w="276"/>
                    <w:gridCol w:w="384"/>
                    <w:gridCol w:w="266"/>
                    <w:gridCol w:w="451"/>
                    <w:gridCol w:w="451"/>
                    <w:gridCol w:w="722"/>
                    <w:gridCol w:w="358"/>
                  </w:tblGrid>
                  <w:tr>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类型</w:t>
                        </w:r>
                      </w:p>
                    </w:tc>
                    <w:tc>
                      <w:tcPr>
                        <w:tcW w:type="dxa" w:w="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4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含税</w:t>
                        </w:r>
                        <w:r>
                          <w:rPr>
                            <w:rFonts w:ascii="仿宋_GB2312" w:hAnsi="仿宋_GB2312" w:cs="仿宋_GB2312" w:eastAsia="仿宋_GB2312"/>
                            <w:sz w:val="21"/>
                            <w:color w:val="000000"/>
                          </w:rPr>
                          <w:t>综合单价（元）</w:t>
                        </w:r>
                      </w:p>
                    </w:tc>
                    <w:tc>
                      <w:tcPr>
                        <w:tcW w:type="dxa" w:w="4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其中</w:t>
                        </w:r>
                        <w:r>
                          <w:rPr>
                            <w:rFonts w:ascii="仿宋_GB2312" w:hAnsi="仿宋_GB2312" w:cs="仿宋_GB2312" w:eastAsia="仿宋_GB2312"/>
                            <w:sz w:val="21"/>
                            <w:color w:val="000000"/>
                          </w:rPr>
                          <w:t>主材</w:t>
                        </w:r>
                        <w:r>
                          <w:rPr>
                            <w:rFonts w:ascii="仿宋_GB2312" w:hAnsi="仿宋_GB2312" w:cs="仿宋_GB2312" w:eastAsia="仿宋_GB2312"/>
                            <w:sz w:val="21"/>
                            <w:color w:val="000000"/>
                          </w:rPr>
                          <w:t>含税</w:t>
                        </w:r>
                        <w:r>
                          <w:rPr>
                            <w:rFonts w:ascii="仿宋_GB2312" w:hAnsi="仿宋_GB2312" w:cs="仿宋_GB2312" w:eastAsia="仿宋_GB2312"/>
                            <w:sz w:val="21"/>
                            <w:color w:val="000000"/>
                          </w:rPr>
                          <w:t>价格（元）</w:t>
                        </w:r>
                      </w:p>
                    </w:tc>
                    <w:tc>
                      <w:tcPr>
                        <w:tcW w:type="dxa" w:w="7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限价（元）</w:t>
                        </w:r>
                      </w:p>
                    </w:tc>
                  </w:tr>
                  <w:tr>
                    <w:tc>
                      <w:tcPr>
                        <w:tcW w:type="dxa" w:w="2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拆除类</w:t>
                        </w: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破除混凝土路面</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含拆除约</w:t>
                        </w:r>
                        <w:r>
                          <w:rPr>
                            <w:rFonts w:ascii="仿宋_GB2312" w:hAnsi="仿宋_GB2312" w:cs="仿宋_GB2312" w:eastAsia="仿宋_GB2312"/>
                            <w:sz w:val="21"/>
                            <w:color w:val="000000"/>
                          </w:rPr>
                          <w:t>15-25cm厚C25混凝土、30cm3:7灰土</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拆除人行道砖</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含拆除人行道砖、</w:t>
                        </w:r>
                        <w:r>
                          <w:rPr>
                            <w:rFonts w:ascii="仿宋_GB2312" w:hAnsi="仿宋_GB2312" w:cs="仿宋_GB2312" w:eastAsia="仿宋_GB2312"/>
                            <w:sz w:val="21"/>
                            <w:color w:val="000000"/>
                          </w:rPr>
                          <w:t>10cm厚砂灰垫层</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拆除瓷砖地面</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含拆除各种规格瓷砖、水泥砂浆垫层</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拆除塑胶地板</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含拆除各种规格瓷砖、水泥自流平</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拆除砖墙</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3</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所有规格材质砖墙</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拆除大理石地砖</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含拆除各种规格大理石地砖、水泥砂浆垫层</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拆除干挂大理石墙砖</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拆除墙面瓷砖</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含拆除各种规格瓷砖、水泥砂浆垫层</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拆除纸面石膏板隔墙面层</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拆除纸面石膏板隔墙</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含龙骨、吊杆</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拆除石膏板吊顶</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含龙骨、吊杆</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拆除各种规格的铝扣板、矿棉板吊顶</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含龙骨、吊杆</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铲除乳胶漆墙面和石膏腻子</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拆除铝塑板墙面</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含铝塑板和木工板</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拆除木门</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樘</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44</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拆除塑钢窗或木窗</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樘</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r>
                  <w:tr>
                    <w:tc>
                      <w:tcPr>
                        <w:tcW w:type="dxa" w:w="2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新作类</w:t>
                        </w:r>
                      </w:p>
                    </w:tc>
                    <w:tc>
                      <w:tcPr>
                        <w:tcW w:type="dxa" w:w="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新做钢制防火门</w:t>
                        </w: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含五金件、门套</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430</w:t>
                        </w:r>
                      </w:p>
                    </w:tc>
                  </w:tr>
                  <w:tr>
                    <w:tc>
                      <w:tcPr>
                        <w:tcW w:type="dxa" w:w="276"/>
                        <w:vMerge/>
                        <w:tcBorders>
                          <w:top w:val="none" w:color="000000" w:sz="4"/>
                          <w:left w:val="single" w:color="000000" w:sz="4"/>
                          <w:bottom w:val="single" w:color="000000" w:sz="4"/>
                          <w:right w:val="single" w:color="000000" w:sz="4"/>
                        </w:tcBorders>
                      </w:tcPr>
                      <w:p/>
                    </w:tc>
                    <w:tc>
                      <w:tcPr>
                        <w:tcW w:type="dxa" w:w="384"/>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451"/>
                        <w:vMerge/>
                        <w:tcBorders>
                          <w:top w:val="none" w:color="000000" w:sz="4"/>
                          <w:left w:val="single" w:color="000000" w:sz="4"/>
                          <w:bottom w:val="single" w:color="000000" w:sz="4"/>
                          <w:right w:val="single" w:color="000000" w:sz="4"/>
                        </w:tcBorders>
                      </w:tcPr>
                      <w:p/>
                    </w:tc>
                    <w:tc>
                      <w:tcPr>
                        <w:tcW w:type="dxa" w:w="451"/>
                        <w:vMerge/>
                        <w:tcBorders>
                          <w:top w:val="none" w:color="000000" w:sz="4"/>
                          <w:left w:val="single" w:color="000000" w:sz="4"/>
                          <w:bottom w:val="single" w:color="000000" w:sz="4"/>
                          <w:right w:val="single" w:color="000000" w:sz="4"/>
                        </w:tcBorders>
                      </w:tcPr>
                      <w:p/>
                    </w:tc>
                    <w:tc>
                      <w:tcPr>
                        <w:tcW w:type="dxa" w:w="722"/>
                        <w:vMerge/>
                        <w:tcBorders>
                          <w:top w:val="none" w:color="000000" w:sz="4"/>
                          <w:left w:val="single" w:color="000000" w:sz="4"/>
                          <w:bottom w:val="single" w:color="000000" w:sz="4"/>
                          <w:right w:val="single" w:color="000000" w:sz="4"/>
                        </w:tcBorders>
                      </w:tc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410</w:t>
                        </w:r>
                      </w:p>
                    </w:tc>
                  </w:tr>
                  <w:tr>
                    <w:tc>
                      <w:tcPr>
                        <w:tcW w:type="dxa" w:w="276"/>
                        <w:vMerge/>
                        <w:tcBorders>
                          <w:top w:val="none" w:color="000000" w:sz="4"/>
                          <w:left w:val="single" w:color="000000" w:sz="4"/>
                          <w:bottom w:val="single" w:color="000000" w:sz="4"/>
                          <w:right w:val="single" w:color="000000" w:sz="4"/>
                        </w:tcBorders>
                      </w:tcPr>
                      <w:p/>
                    </w:tc>
                    <w:tc>
                      <w:tcPr>
                        <w:tcW w:type="dxa" w:w="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新作木质卫生间门</w:t>
                        </w: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含五金件、门套</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370</w:t>
                        </w:r>
                      </w:p>
                    </w:tc>
                  </w:tr>
                  <w:tr>
                    <w:tc>
                      <w:tcPr>
                        <w:tcW w:type="dxa" w:w="276"/>
                        <w:vMerge/>
                        <w:tcBorders>
                          <w:top w:val="none" w:color="000000" w:sz="4"/>
                          <w:left w:val="single" w:color="000000" w:sz="4"/>
                          <w:bottom w:val="single" w:color="000000" w:sz="4"/>
                          <w:right w:val="single" w:color="000000" w:sz="4"/>
                        </w:tcBorders>
                      </w:tcPr>
                      <w:p/>
                    </w:tc>
                    <w:tc>
                      <w:tcPr>
                        <w:tcW w:type="dxa" w:w="384"/>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451"/>
                        <w:vMerge/>
                        <w:tcBorders>
                          <w:top w:val="none" w:color="000000" w:sz="4"/>
                          <w:left w:val="single" w:color="000000" w:sz="4"/>
                          <w:bottom w:val="single" w:color="000000" w:sz="4"/>
                          <w:right w:val="single" w:color="000000" w:sz="4"/>
                        </w:tcBorders>
                      </w:tcPr>
                      <w:p/>
                    </w:tc>
                    <w:tc>
                      <w:tcPr>
                        <w:tcW w:type="dxa" w:w="451"/>
                        <w:vMerge/>
                        <w:tcBorders>
                          <w:top w:val="none" w:color="000000" w:sz="4"/>
                          <w:left w:val="single" w:color="000000" w:sz="4"/>
                          <w:bottom w:val="single" w:color="000000" w:sz="4"/>
                          <w:right w:val="single" w:color="000000" w:sz="4"/>
                        </w:tcBorders>
                      </w:tcPr>
                      <w:p/>
                    </w:tc>
                    <w:tc>
                      <w:tcPr>
                        <w:tcW w:type="dxa" w:w="722"/>
                        <w:vMerge/>
                        <w:tcBorders>
                          <w:top w:val="none" w:color="000000" w:sz="4"/>
                          <w:left w:val="single" w:color="000000" w:sz="4"/>
                          <w:bottom w:val="single" w:color="000000" w:sz="4"/>
                          <w:right w:val="single" w:color="000000" w:sz="4"/>
                        </w:tcBorders>
                      </w:tc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360</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新作木门</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含五金件、门套</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671</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新作铝合金窗</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含五金件</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625</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塑胶地板</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含自流平</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220</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新作墙板</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含钢制地脚线</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322</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隔墙开窗做铝合金窗</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含五金件、窗套</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184</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新作钢化玻璃门</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含门套、五金件</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625</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新作金刚网纱窗</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304不锈钢，11目、80丝</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257</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灯具采购及安装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600x600含开孔及修复</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260</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灯具采购及安装</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300x1200含开孔及修复</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410</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空调控制开关移位</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空调风口移位</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含修补</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331</w:t>
                        </w:r>
                      </w:p>
                    </w:tc>
                  </w:tr>
                  <w:tr>
                    <w:tc>
                      <w:tcPr>
                        <w:tcW w:type="dxa" w:w="276"/>
                        <w:vMerge/>
                        <w:tcBorders>
                          <w:top w:val="none" w:color="000000" w:sz="4"/>
                          <w:left w:val="single" w:color="000000" w:sz="4"/>
                          <w:bottom w:val="single" w:color="000000" w:sz="4"/>
                          <w:right w:val="single" w:color="000000" w:sz="4"/>
                        </w:tcBorders>
                      </w:tcPr>
                      <w:p/>
                    </w:tc>
                    <w:tc>
                      <w:tcPr>
                        <w:tcW w:type="dxa" w:w="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成品高隔</w:t>
                        </w: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双波百叶窗型材厚度</w:t>
                        </w:r>
                        <w:r>
                          <w:rPr>
                            <w:rFonts w:ascii="仿宋_GB2312" w:hAnsi="仿宋_GB2312" w:cs="仿宋_GB2312" w:eastAsia="仿宋_GB2312"/>
                            <w:sz w:val="21"/>
                            <w:color w:val="000000"/>
                          </w:rPr>
                          <w:t>1.5，玻璃厚度8+8钢化夹胶玻璃</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500</w:t>
                        </w:r>
                      </w:p>
                    </w:tc>
                  </w:tr>
                  <w:tr>
                    <w:tc>
                      <w:tcPr>
                        <w:tcW w:type="dxa" w:w="276"/>
                        <w:vMerge/>
                        <w:tcBorders>
                          <w:top w:val="none" w:color="000000" w:sz="4"/>
                          <w:left w:val="single" w:color="000000" w:sz="4"/>
                          <w:bottom w:val="single" w:color="000000" w:sz="4"/>
                          <w:right w:val="single" w:color="000000" w:sz="4"/>
                        </w:tcBorders>
                      </w:tcPr>
                      <w:p/>
                    </w:tc>
                    <w:tc>
                      <w:tcPr>
                        <w:tcW w:type="dxa" w:w="384"/>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451"/>
                        <w:vMerge/>
                        <w:tcBorders>
                          <w:top w:val="none" w:color="000000" w:sz="4"/>
                          <w:left w:val="single" w:color="000000" w:sz="4"/>
                          <w:bottom w:val="single" w:color="000000" w:sz="4"/>
                          <w:right w:val="single" w:color="000000" w:sz="4"/>
                        </w:tcBorders>
                      </w:tcPr>
                      <w:p/>
                    </w:tc>
                    <w:tc>
                      <w:tcPr>
                        <w:tcW w:type="dxa" w:w="451"/>
                        <w:vMerge/>
                        <w:tcBorders>
                          <w:top w:val="none" w:color="000000" w:sz="4"/>
                          <w:left w:val="single" w:color="000000" w:sz="4"/>
                          <w:bottom w:val="single" w:color="000000" w:sz="4"/>
                          <w:right w:val="single" w:color="000000" w:sz="4"/>
                        </w:tcBorders>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单波钢化玻璃型材厚度</w:t>
                        </w:r>
                        <w:r>
                          <w:rPr>
                            <w:rFonts w:ascii="仿宋_GB2312" w:hAnsi="仿宋_GB2312" w:cs="仿宋_GB2312" w:eastAsia="仿宋_GB2312"/>
                            <w:sz w:val="21"/>
                            <w:color w:val="000000"/>
                          </w:rPr>
                          <w:t>1.5，玻璃厚度10mm钢化夹胶玻璃</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400</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烟感器布线、安装、调试</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含拆除</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294</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新做混凝土路面</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3</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371</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新做</w:t>
                        </w:r>
                        <w:r>
                          <w:rPr>
                            <w:rFonts w:ascii="仿宋_GB2312" w:hAnsi="仿宋_GB2312" w:cs="仿宋_GB2312" w:eastAsia="仿宋_GB2312"/>
                            <w:sz w:val="21"/>
                            <w:color w:val="000000"/>
                          </w:rPr>
                          <w:t>沥青</w:t>
                        </w:r>
                        <w:r>
                          <w:rPr>
                            <w:rFonts w:ascii="仿宋_GB2312" w:hAnsi="仿宋_GB2312" w:cs="仿宋_GB2312" w:eastAsia="仿宋_GB2312"/>
                            <w:sz w:val="21"/>
                            <w:color w:val="000000"/>
                          </w:rPr>
                          <w:t>路面</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3</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353</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新做地砖</w:t>
                        </w:r>
                        <w:r>
                          <w:rPr>
                            <w:rFonts w:ascii="仿宋_GB2312" w:hAnsi="仿宋_GB2312" w:cs="仿宋_GB2312" w:eastAsia="仿宋_GB2312"/>
                            <w:sz w:val="21"/>
                            <w:color w:val="000000"/>
                          </w:rPr>
                          <w:t>800*800mm</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含水泥砂浆垫层</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新做地砖</w:t>
                        </w:r>
                        <w:r>
                          <w:rPr>
                            <w:rFonts w:ascii="仿宋_GB2312" w:hAnsi="仿宋_GB2312" w:cs="仿宋_GB2312" w:eastAsia="仿宋_GB2312"/>
                            <w:sz w:val="21"/>
                            <w:color w:val="000000"/>
                          </w:rPr>
                          <w:t>600*600mm</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含水泥砂浆垫层</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176</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新做地砖</w:t>
                        </w:r>
                        <w:r>
                          <w:rPr>
                            <w:rFonts w:ascii="仿宋_GB2312" w:hAnsi="仿宋_GB2312" w:cs="仿宋_GB2312" w:eastAsia="仿宋_GB2312"/>
                            <w:sz w:val="21"/>
                            <w:color w:val="000000"/>
                          </w:rPr>
                          <w:t>300*300mm</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含水泥砂浆垫层</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新做墙砖</w:t>
                        </w:r>
                        <w:r>
                          <w:rPr>
                            <w:rFonts w:ascii="仿宋_GB2312" w:hAnsi="仿宋_GB2312" w:cs="仿宋_GB2312" w:eastAsia="仿宋_GB2312"/>
                            <w:sz w:val="21"/>
                            <w:color w:val="000000"/>
                          </w:rPr>
                          <w:t>300*600mm</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含水泥砂浆垫层</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新做吸水砖地面</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含干砂层</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新做火烧板地面</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含水泥砂浆垫层</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新做大理石地面</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含水泥砂浆垫层</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177</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新做花岗岩地面</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含水泥砂浆垫层</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新做水磨石地面</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含水泥砂浆垫层</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265</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铺设木地板</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含防潮垫</w:t>
                        </w:r>
                        <w:r>
                          <w:rPr>
                            <w:rFonts w:ascii="仿宋_GB2312" w:hAnsi="仿宋_GB2312" w:cs="仿宋_GB2312" w:eastAsia="仿宋_GB2312"/>
                            <w:sz w:val="21"/>
                            <w:color w:val="000000"/>
                          </w:rPr>
                          <w:t>、</w:t>
                        </w:r>
                        <w:r>
                          <w:rPr>
                            <w:rFonts w:ascii="仿宋_GB2312" w:hAnsi="仿宋_GB2312" w:cs="仿宋_GB2312" w:eastAsia="仿宋_GB2312"/>
                            <w:sz w:val="21"/>
                            <w:color w:val="000000"/>
                          </w:rPr>
                          <w:t>找平、及所有辅材</w:t>
                        </w:r>
                      </w:p>
                      <w:p>
                        <w:pPr>
                          <w:pStyle w:val="null3"/>
                          <w:jc w:val="center"/>
                        </w:p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r>
                  <w:tr>
                    <w:tc>
                      <w:tcPr>
                        <w:tcW w:type="dxa" w:w="2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维修更换类</w:t>
                        </w:r>
                      </w:p>
                    </w:tc>
                    <w:tc>
                      <w:tcPr>
                        <w:tcW w:type="dxa" w:w="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刷乳胶漆</w:t>
                        </w:r>
                        <w:r>
                          <w:rPr>
                            <w:rFonts w:ascii="仿宋_GB2312" w:hAnsi="仿宋_GB2312" w:cs="仿宋_GB2312" w:eastAsia="仿宋_GB2312"/>
                            <w:sz w:val="21"/>
                            <w:color w:val="000000"/>
                          </w:rPr>
                          <w:t>1</w:t>
                        </w: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刮腻子</w:t>
                        </w:r>
                      </w:p>
                    </w:tc>
                    <w:tc>
                      <w:tcPr>
                        <w:tcW w:type="dxa" w:w="3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r>
                  <w:tr>
                    <w:tc>
                      <w:tcPr>
                        <w:tcW w:type="dxa" w:w="276"/>
                        <w:vMerge/>
                        <w:tcBorders>
                          <w:top w:val="none" w:color="000000" w:sz="4"/>
                          <w:left w:val="single" w:color="000000" w:sz="4"/>
                          <w:bottom w:val="single" w:color="000000" w:sz="4"/>
                          <w:right w:val="single" w:color="000000" w:sz="4"/>
                        </w:tcBorders>
                      </w:tcPr>
                      <w:p/>
                    </w:tc>
                    <w:tc>
                      <w:tcPr>
                        <w:tcW w:type="dxa" w:w="384"/>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粉刷墙</w:t>
                        </w:r>
                      </w:p>
                    </w:tc>
                    <w:tc>
                      <w:tcPr>
                        <w:tcW w:type="dxa" w:w="358"/>
                        <w:vMerge/>
                        <w:tcBorders>
                          <w:top w:val="none" w:color="000000" w:sz="4"/>
                          <w:left w:val="single" w:color="000000" w:sz="4"/>
                          <w:bottom w:val="single" w:color="000000" w:sz="4"/>
                          <w:right w:val="single" w:color="000000" w:sz="4"/>
                        </w:tcBorders>
                      </w:tcPr>
                      <w:p/>
                    </w:tc>
                  </w:tr>
                  <w:tr>
                    <w:tc>
                      <w:tcPr>
                        <w:tcW w:type="dxa" w:w="276"/>
                        <w:vMerge/>
                        <w:tcBorders>
                          <w:top w:val="none" w:color="000000" w:sz="4"/>
                          <w:left w:val="single" w:color="000000" w:sz="4"/>
                          <w:bottom w:val="single" w:color="000000" w:sz="4"/>
                          <w:right w:val="single" w:color="000000" w:sz="4"/>
                        </w:tcBorders>
                      </w:tcPr>
                      <w:p/>
                    </w:tc>
                    <w:tc>
                      <w:tcPr>
                        <w:tcW w:type="dxa" w:w="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刷乳胶漆</w:t>
                        </w:r>
                        <w:r>
                          <w:rPr>
                            <w:rFonts w:ascii="仿宋_GB2312" w:hAnsi="仿宋_GB2312" w:cs="仿宋_GB2312" w:eastAsia="仿宋_GB2312"/>
                            <w:sz w:val="21"/>
                            <w:color w:val="000000"/>
                          </w:rPr>
                          <w:t>2</w:t>
                        </w: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刮腻子</w:t>
                        </w:r>
                      </w:p>
                    </w:tc>
                    <w:tc>
                      <w:tcPr>
                        <w:tcW w:type="dxa" w:w="3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r>
                  <w:tr>
                    <w:tc>
                      <w:tcPr>
                        <w:tcW w:type="dxa" w:w="276"/>
                        <w:vMerge/>
                        <w:tcBorders>
                          <w:top w:val="none" w:color="000000" w:sz="4"/>
                          <w:left w:val="single" w:color="000000" w:sz="4"/>
                          <w:bottom w:val="single" w:color="000000" w:sz="4"/>
                          <w:right w:val="single" w:color="000000" w:sz="4"/>
                        </w:tcBorders>
                      </w:tcPr>
                      <w:p/>
                    </w:tc>
                    <w:tc>
                      <w:tcPr>
                        <w:tcW w:type="dxa" w:w="384"/>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粉刷墙</w:t>
                        </w:r>
                      </w:p>
                    </w:tc>
                    <w:tc>
                      <w:tcPr>
                        <w:tcW w:type="dxa" w:w="358"/>
                        <w:vMerge/>
                        <w:tcBorders>
                          <w:top w:val="none" w:color="000000" w:sz="4"/>
                          <w:left w:val="single" w:color="000000" w:sz="4"/>
                          <w:bottom w:val="single" w:color="000000" w:sz="4"/>
                          <w:right w:val="single" w:color="000000" w:sz="4"/>
                        </w:tcBorders>
                      </w:tcP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更换纱窗</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304不锈钢高透网，</w:t>
                        </w:r>
                        <w:r>
                          <w:rPr>
                            <w:rFonts w:ascii="仿宋_GB2312" w:hAnsi="仿宋_GB2312" w:cs="仿宋_GB2312" w:eastAsia="仿宋_GB2312"/>
                            <w:sz w:val="21"/>
                            <w:color w:val="000000"/>
                          </w:rPr>
                          <w:t>只更换</w:t>
                        </w:r>
                        <w:r>
                          <w:rPr>
                            <w:rFonts w:ascii="仿宋_GB2312" w:hAnsi="仿宋_GB2312" w:cs="仿宋_GB2312" w:eastAsia="仿宋_GB2312"/>
                            <w:sz w:val="21"/>
                            <w:color w:val="000000"/>
                          </w:rPr>
                          <w:t>窗</w:t>
                        </w:r>
                        <w:r>
                          <w:rPr>
                            <w:rFonts w:ascii="仿宋_GB2312" w:hAnsi="仿宋_GB2312" w:cs="仿宋_GB2312" w:eastAsia="仿宋_GB2312"/>
                            <w:sz w:val="21"/>
                            <w:color w:val="000000"/>
                          </w:rPr>
                          <w:t>纱</w:t>
                        </w:r>
                        <w:r>
                          <w:rPr>
                            <w:rFonts w:ascii="仿宋_GB2312" w:hAnsi="仿宋_GB2312" w:cs="仿宋_GB2312" w:eastAsia="仿宋_GB2312"/>
                            <w:sz w:val="21"/>
                            <w:color w:val="000000"/>
                          </w:rPr>
                          <w:t>20目、18丝</w:t>
                        </w:r>
                        <w:r>
                          <w:rPr>
                            <w:rFonts w:ascii="仿宋_GB2312" w:hAnsi="仿宋_GB2312" w:cs="仿宋_GB2312" w:eastAsia="仿宋_GB2312"/>
                            <w:sz w:val="21"/>
                            <w:color w:val="000000"/>
                          </w:rPr>
                          <w:t>和密封条</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更换卫生间一字型</w:t>
                        </w:r>
                        <w:r>
                          <w:rPr>
                            <w:rFonts w:ascii="仿宋_GB2312" w:hAnsi="仿宋_GB2312" w:cs="仿宋_GB2312" w:eastAsia="仿宋_GB2312"/>
                            <w:sz w:val="21"/>
                            <w:color w:val="000000"/>
                          </w:rPr>
                          <w:t>无障碍</w:t>
                        </w:r>
                        <w:r>
                          <w:rPr>
                            <w:rFonts w:ascii="仿宋_GB2312" w:hAnsi="仿宋_GB2312" w:cs="仿宋_GB2312" w:eastAsia="仿宋_GB2312"/>
                            <w:sz w:val="21"/>
                            <w:color w:val="000000"/>
                          </w:rPr>
                          <w:t>扶手</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扶手材质：内不锈钢、外</w:t>
                        </w:r>
                        <w:r>
                          <w:rPr>
                            <w:rFonts w:ascii="仿宋_GB2312" w:hAnsi="仿宋_GB2312" w:cs="仿宋_GB2312" w:eastAsia="仿宋_GB2312"/>
                            <w:sz w:val="21"/>
                            <w:color w:val="000000"/>
                          </w:rPr>
                          <w:t>ABS材质带防滑颗粒，含辅材和安装，长度50CM，管径</w:t>
                        </w:r>
                        <w:r>
                          <w:rPr>
                            <w:rFonts w:ascii="仿宋_GB2312" w:hAnsi="仿宋_GB2312" w:cs="仿宋_GB2312" w:eastAsia="仿宋_GB2312"/>
                            <w:sz w:val="21"/>
                            <w:color w:val="000000"/>
                          </w:rPr>
                          <w:t>500mm</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77</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更换卫生间</w:t>
                        </w:r>
                        <w:r>
                          <w:rPr>
                            <w:rFonts w:ascii="仿宋_GB2312" w:hAnsi="仿宋_GB2312" w:cs="仿宋_GB2312" w:eastAsia="仿宋_GB2312"/>
                            <w:sz w:val="21"/>
                            <w:color w:val="000000"/>
                          </w:rPr>
                          <w:t>T字型</w:t>
                        </w:r>
                        <w:r>
                          <w:rPr>
                            <w:rFonts w:ascii="仿宋_GB2312" w:hAnsi="仿宋_GB2312" w:cs="仿宋_GB2312" w:eastAsia="仿宋_GB2312"/>
                            <w:sz w:val="21"/>
                            <w:color w:val="000000"/>
                          </w:rPr>
                          <w:t>无障碍</w:t>
                        </w:r>
                        <w:r>
                          <w:rPr>
                            <w:rFonts w:ascii="仿宋_GB2312" w:hAnsi="仿宋_GB2312" w:cs="仿宋_GB2312" w:eastAsia="仿宋_GB2312"/>
                            <w:sz w:val="21"/>
                            <w:color w:val="000000"/>
                          </w:rPr>
                          <w:t>扶手</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扶手材质：内不锈钢、外</w:t>
                        </w:r>
                        <w:r>
                          <w:rPr>
                            <w:rFonts w:ascii="仿宋_GB2312" w:hAnsi="仿宋_GB2312" w:cs="仿宋_GB2312" w:eastAsia="仿宋_GB2312"/>
                            <w:sz w:val="21"/>
                            <w:color w:val="000000"/>
                          </w:rPr>
                          <w:t>ABS材质带防滑颗粒，含辅材和安装，长度50CM，管径</w:t>
                        </w:r>
                        <w:r>
                          <w:rPr>
                            <w:rFonts w:ascii="仿宋_GB2312" w:hAnsi="仿宋_GB2312" w:cs="仿宋_GB2312" w:eastAsia="仿宋_GB2312"/>
                            <w:sz w:val="21"/>
                            <w:color w:val="000000"/>
                          </w:rPr>
                          <w:t>500mm</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更换卫生间抗倍特板隔断</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含五金件</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石膏板吊顶</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新做，含轻钢龙骨，不上人</w:t>
                        </w:r>
                        <w:r>
                          <w:rPr>
                            <w:rFonts w:ascii="仿宋_GB2312" w:hAnsi="仿宋_GB2312" w:cs="仿宋_GB2312" w:eastAsia="仿宋_GB2312"/>
                            <w:sz w:val="21"/>
                            <w:color w:val="000000"/>
                          </w:rPr>
                          <w:t>、</w:t>
                        </w:r>
                        <w:r>
                          <w:rPr>
                            <w:rFonts w:ascii="仿宋_GB2312" w:hAnsi="仿宋_GB2312" w:cs="仿宋_GB2312" w:eastAsia="仿宋_GB2312"/>
                            <w:sz w:val="21"/>
                            <w:color w:val="000000"/>
                          </w:rPr>
                          <w:t>新作检修口</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石膏板吊顶</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修补，不含龙骨</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53</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矿棉板吊顶</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新做，含轻钢龙骨，不上人</w:t>
                        </w:r>
                        <w:r>
                          <w:rPr>
                            <w:rFonts w:ascii="仿宋_GB2312" w:hAnsi="仿宋_GB2312" w:cs="仿宋_GB2312" w:eastAsia="仿宋_GB2312"/>
                            <w:sz w:val="21"/>
                            <w:color w:val="000000"/>
                          </w:rPr>
                          <w:t>600X600X8</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106</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矿棉板吊顶</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修补，不含龙骨</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49</w:t>
                        </w:r>
                      </w:p>
                    </w:tc>
                  </w:tr>
                  <w:tr>
                    <w:tc>
                      <w:tcPr>
                        <w:tcW w:type="dxa" w:w="276"/>
                        <w:vMerge/>
                        <w:tcBorders>
                          <w:top w:val="none" w:color="000000" w:sz="4"/>
                          <w:left w:val="single" w:color="000000" w:sz="4"/>
                          <w:bottom w:val="single" w:color="000000" w:sz="4"/>
                          <w:right w:val="single" w:color="000000" w:sz="4"/>
                        </w:tcBorders>
                      </w:tcPr>
                      <w:p/>
                    </w:tc>
                    <w:tc>
                      <w:tcPr>
                        <w:tcW w:type="dxa" w:w="3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铝扣板吊顶</w:t>
                        </w:r>
                      </w:p>
                    </w:tc>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新做，含轻钢龙骨，不上人</w:t>
                        </w:r>
                        <w:r>
                          <w:rPr>
                            <w:rFonts w:ascii="仿宋_GB2312" w:hAnsi="仿宋_GB2312" w:cs="仿宋_GB2312" w:eastAsia="仿宋_GB2312"/>
                            <w:sz w:val="21"/>
                            <w:color w:val="000000"/>
                          </w:rPr>
                          <w:t>600*600*8</w:t>
                        </w:r>
                      </w:p>
                      <w:p>
                        <w:pPr>
                          <w:pStyle w:val="null3"/>
                          <w:jc w:val="center"/>
                        </w:pP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141</w:t>
                        </w:r>
                      </w:p>
                    </w:tc>
                  </w:tr>
                  <w:tr>
                    <w:tc>
                      <w:tcPr>
                        <w:tcW w:type="dxa" w:w="276"/>
                        <w:vMerge/>
                        <w:tcBorders>
                          <w:top w:val="none" w:color="000000" w:sz="4"/>
                          <w:left w:val="single" w:color="000000" w:sz="4"/>
                          <w:bottom w:val="single" w:color="000000" w:sz="4"/>
                          <w:right w:val="single" w:color="000000" w:sz="4"/>
                        </w:tcBorders>
                      </w:tcPr>
                      <w:p/>
                    </w:tc>
                    <w:tc>
                      <w:tcPr>
                        <w:tcW w:type="dxa" w:w="384"/>
                        <w:vMerge/>
                        <w:tcBorders>
                          <w:top w:val="none" w:color="000000" w:sz="4"/>
                          <w:left w:val="single" w:color="000000" w:sz="4"/>
                          <w:bottom w:val="single" w:color="000000" w:sz="4"/>
                          <w:right w:val="single" w:color="000000" w:sz="4"/>
                        </w:tcBorders>
                      </w:tcPr>
                      <w:p/>
                    </w:tc>
                    <w:tc>
                      <w:tcPr>
                        <w:tcW w:type="dxa" w:w="266"/>
                        <w:vMerge/>
                        <w:tcBorders>
                          <w:top w:val="none" w:color="000000" w:sz="4"/>
                          <w:left w:val="single" w:color="000000" w:sz="4"/>
                          <w:bottom w:val="single" w:color="000000" w:sz="4"/>
                          <w:right w:val="single" w:color="000000" w:sz="4"/>
                        </w:tcBorders>
                      </w:tcPr>
                      <w:p/>
                    </w:tc>
                    <w:tc>
                      <w:tcPr>
                        <w:tcW w:type="dxa" w:w="451"/>
                        <w:vMerge/>
                        <w:tcBorders>
                          <w:top w:val="none" w:color="000000" w:sz="4"/>
                          <w:left w:val="single" w:color="000000" w:sz="4"/>
                          <w:bottom w:val="single" w:color="000000" w:sz="4"/>
                          <w:right w:val="single" w:color="000000" w:sz="4"/>
                        </w:tcBorders>
                      </w:tcPr>
                      <w:p/>
                    </w:tc>
                    <w:tc>
                      <w:tcPr>
                        <w:tcW w:type="dxa" w:w="451"/>
                        <w:vMerge/>
                        <w:tcBorders>
                          <w:top w:val="none" w:color="000000" w:sz="4"/>
                          <w:left w:val="single" w:color="000000" w:sz="4"/>
                          <w:bottom w:val="single" w:color="000000" w:sz="4"/>
                          <w:right w:val="single" w:color="000000" w:sz="4"/>
                        </w:tcBorders>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新做，含轻钢龙骨，不上人</w:t>
                        </w:r>
                        <w:r>
                          <w:rPr>
                            <w:rFonts w:ascii="仿宋_GB2312" w:hAnsi="仿宋_GB2312" w:cs="仿宋_GB2312" w:eastAsia="仿宋_GB2312"/>
                            <w:sz w:val="21"/>
                            <w:color w:val="000000"/>
                          </w:rPr>
                          <w:t>300X300X6</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铝扣板吊顶</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修补，不含龙骨</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70</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粘贴铝塑板</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新作，含</w:t>
                        </w:r>
                        <w:r>
                          <w:rPr>
                            <w:rFonts w:ascii="仿宋_GB2312" w:hAnsi="仿宋_GB2312" w:cs="仿宋_GB2312" w:eastAsia="仿宋_GB2312"/>
                            <w:sz w:val="21"/>
                            <w:color w:val="000000"/>
                          </w:rPr>
                          <w:t>18mm木工板基层</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159</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轻钢龙骨石膏板隔墙</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新作，含轻钢龙骨</w:t>
                        </w:r>
                        <w:r>
                          <w:rPr>
                            <w:rFonts w:ascii="仿宋_GB2312" w:hAnsi="仿宋_GB2312" w:cs="仿宋_GB2312" w:eastAsia="仿宋_GB2312"/>
                            <w:sz w:val="21"/>
                            <w:color w:val="000000"/>
                          </w:rPr>
                          <w:t>、钢制地脚线、</w:t>
                        </w:r>
                        <w:r>
                          <w:rPr>
                            <w:rFonts w:ascii="仿宋_GB2312" w:hAnsi="仿宋_GB2312" w:cs="仿宋_GB2312" w:eastAsia="仿宋_GB2312"/>
                            <w:sz w:val="21"/>
                            <w:color w:val="000000"/>
                          </w:rPr>
                          <w:t>防火棉（岩棉）耐火等级</w:t>
                        </w:r>
                        <w:r>
                          <w:rPr>
                            <w:rFonts w:ascii="仿宋_GB2312" w:hAnsi="仿宋_GB2312" w:cs="仿宋_GB2312" w:eastAsia="仿宋_GB2312"/>
                            <w:sz w:val="21"/>
                            <w:color w:val="000000"/>
                          </w:rPr>
                          <w:t>A级</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123</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新作</w:t>
                        </w:r>
                        <w:r>
                          <w:rPr>
                            <w:rFonts w:ascii="仿宋_GB2312" w:hAnsi="仿宋_GB2312" w:cs="仿宋_GB2312" w:eastAsia="仿宋_GB2312"/>
                            <w:sz w:val="21"/>
                            <w:color w:val="000000"/>
                          </w:rPr>
                          <w:t>竹木纤维板</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9.2mm厚，环保E1，防护等级C</w:t>
                        </w:r>
                        <w:r>
                          <w:rPr>
                            <w:rFonts w:ascii="仿宋_GB2312" w:hAnsi="仿宋_GB2312" w:cs="仿宋_GB2312" w:eastAsia="仿宋_GB2312"/>
                            <w:sz w:val="21"/>
                            <w:color w:val="000000"/>
                          </w:rPr>
                          <w:t>级</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88</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室外防水维修</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含基层处理、</w:t>
                        </w:r>
                        <w:r>
                          <w:rPr>
                            <w:rFonts w:ascii="仿宋_GB2312" w:hAnsi="仿宋_GB2312" w:cs="仿宋_GB2312" w:eastAsia="仿宋_GB2312"/>
                            <w:sz w:val="21"/>
                            <w:color w:val="000000"/>
                          </w:rPr>
                          <w:t>SBS材质卷材厚度不小于3</w:t>
                        </w:r>
                        <w:r>
                          <w:rPr>
                            <w:rFonts w:ascii="仿宋_GB2312" w:hAnsi="仿宋_GB2312" w:cs="仿宋_GB2312" w:eastAsia="仿宋_GB2312"/>
                            <w:sz w:val="21"/>
                            <w:color w:val="000000"/>
                          </w:rPr>
                          <w:t>mm</w:t>
                        </w:r>
                      </w:p>
                      <w:p>
                        <w:pPr>
                          <w:pStyle w:val="null3"/>
                          <w:jc w:val="center"/>
                        </w:pPr>
                        <w:r>
                          <w:rPr>
                            <w:rFonts w:ascii="仿宋_GB2312" w:hAnsi="仿宋_GB2312" w:cs="仿宋_GB2312" w:eastAsia="仿宋_GB2312"/>
                            <w:sz w:val="21"/>
                            <w:color w:val="000000"/>
                          </w:rPr>
                          <w:t>铺设</w:t>
                        </w:r>
                        <w:r>
                          <w:rPr>
                            <w:rFonts w:ascii="仿宋_GB2312" w:hAnsi="仿宋_GB2312" w:cs="仿宋_GB2312" w:eastAsia="仿宋_GB2312"/>
                            <w:sz w:val="21"/>
                            <w:color w:val="000000"/>
                          </w:rPr>
                          <w:t>2层；含拆除垃圾清运出院</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125</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木门维修</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清理破损部位，门及门套添加高</w:t>
                        </w:r>
                        <w:r>
                          <w:rPr>
                            <w:rFonts w:ascii="仿宋_GB2312" w:hAnsi="仿宋_GB2312" w:cs="仿宋_GB2312" w:eastAsia="仿宋_GB2312"/>
                            <w:sz w:val="21"/>
                            <w:color w:val="000000"/>
                          </w:rPr>
                          <w:t>60cm，厚1mm的不锈钢板，整樘门刷漆。</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300</w:t>
                        </w:r>
                      </w:p>
                    </w:tc>
                  </w:tr>
                  <w:tr>
                    <w:tc>
                      <w:tcPr>
                        <w:tcW w:type="dxa" w:w="276"/>
                        <w:vMerge/>
                        <w:tcBorders>
                          <w:top w:val="none" w:color="000000" w:sz="4"/>
                          <w:left w:val="single" w:color="000000" w:sz="4"/>
                          <w:bottom w:val="single" w:color="000000" w:sz="4"/>
                          <w:right w:val="single" w:color="000000" w:sz="4"/>
                        </w:tcBorders>
                      </w:tcPr>
                      <w:p/>
                    </w:tc>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井盖</w:t>
                        </w:r>
                        <w:r>
                          <w:rPr>
                            <w:rFonts w:ascii="仿宋_GB2312" w:hAnsi="仿宋_GB2312" w:cs="仿宋_GB2312" w:eastAsia="仿宋_GB2312"/>
                            <w:sz w:val="21"/>
                            <w:color w:val="000000"/>
                          </w:rPr>
                          <w:t>喷字</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含油漆等所有辅材及人工</w:t>
                        </w:r>
                      </w:p>
                    </w:tc>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r>
                  <w:tr>
                    <w:tc>
                      <w:tcPr>
                        <w:tcW w:type="dxa" w:w="182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总计：</w:t>
                        </w:r>
                      </w:p>
                    </w:tc>
                    <w:tc>
                      <w:tcPr>
                        <w:tcW w:type="dxa" w:w="10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908"/>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注：此处所列清单项为暂定清单项，如项目实施过程中出现本表所列清单项之外的工程服务，由采购人确认后，供应商方可实施。所有拆除项目需将垃圾清运至院外。</w:t>
                        </w:r>
                      </w:p>
                    </w:tc>
                  </w:tr>
                </w:tbl>
                <w:p>
                  <w:pPr>
                    <w:pStyle w:val="null3"/>
                    <w:spacing w:after="165"/>
                    <w:ind w:firstLine="420"/>
                    <w:jc w:val="both"/>
                  </w:pPr>
                  <w:r>
                    <w:rPr>
                      <w:rFonts w:ascii="仿宋_GB2312" w:hAnsi="仿宋_GB2312" w:cs="仿宋_GB2312" w:eastAsia="仿宋_GB2312"/>
                      <w:sz w:val="21"/>
                    </w:rPr>
                    <w:t xml:space="preserve"> </w:t>
                  </w:r>
                </w:p>
                <w:p>
                  <w:pPr>
                    <w:pStyle w:val="null3"/>
                    <w:spacing w:after="165"/>
                    <w:ind w:firstLine="422"/>
                    <w:jc w:val="both"/>
                  </w:pPr>
                  <w:r>
                    <w:rPr>
                      <w:rFonts w:ascii="仿宋_GB2312" w:hAnsi="仿宋_GB2312" w:cs="仿宋_GB2312" w:eastAsia="仿宋_GB2312"/>
                      <w:sz w:val="21"/>
                      <w:b/>
                      <w:color w:val="000000"/>
                    </w:rPr>
                    <w:t>零星用工</w:t>
                  </w:r>
                </w:p>
                <w:tbl>
                  <w:tblPr>
                    <w:tblBorders>
                      <w:top w:val="none" w:color="000000" w:sz="4"/>
                      <w:left w:val="none" w:color="000000" w:sz="4"/>
                      <w:bottom w:val="none" w:color="000000" w:sz="4"/>
                      <w:right w:val="none" w:color="000000" w:sz="4"/>
                      <w:insideH w:val="none"/>
                      <w:insideV w:val="none"/>
                    </w:tblBorders>
                  </w:tblPr>
                  <w:tblGrid>
                    <w:gridCol w:w="911"/>
                    <w:gridCol w:w="514"/>
                    <w:gridCol w:w="458"/>
                    <w:gridCol w:w="341"/>
                    <w:gridCol w:w="677"/>
                  </w:tblGrid>
                  <w:tr>
                    <w:tc>
                      <w:tcPr>
                        <w:tcW w:type="dxa" w:w="9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项目</w:t>
                        </w:r>
                      </w:p>
                    </w:tc>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全费用单价报价</w:t>
                        </w:r>
                      </w:p>
                      <w:p>
                        <w:pPr>
                          <w:pStyle w:val="null3"/>
                          <w:jc w:val="center"/>
                        </w:pPr>
                        <w:r>
                          <w:rPr>
                            <w:rFonts w:ascii="仿宋_GB2312" w:hAnsi="仿宋_GB2312" w:cs="仿宋_GB2312" w:eastAsia="仿宋_GB2312"/>
                            <w:sz w:val="21"/>
                            <w:b/>
                            <w:color w:val="000000"/>
                          </w:rPr>
                          <w:t>（元）</w:t>
                        </w:r>
                      </w:p>
                    </w:tc>
                    <w:tc>
                      <w:tcPr>
                        <w:tcW w:type="dxa" w:w="3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限价（元）</w:t>
                        </w:r>
                      </w:p>
                    </w:tc>
                    <w:tc>
                      <w:tcPr>
                        <w:tcW w:type="dxa" w:w="6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病床送修（往返）</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每个</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治疗平车送修（往返）</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每个</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搬运、维修</w:t>
                        </w:r>
                      </w:p>
                    </w:tc>
                  </w:tr>
                  <w:tr>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铁皮柜报废（</w:t>
                        </w:r>
                        <w:r>
                          <w:rPr>
                            <w:rFonts w:ascii="仿宋_GB2312" w:hAnsi="仿宋_GB2312" w:cs="仿宋_GB2312" w:eastAsia="仿宋_GB2312"/>
                            <w:sz w:val="21"/>
                            <w:color w:val="000000"/>
                          </w:rPr>
                          <w:t>搬运</w:t>
                        </w:r>
                        <w:r>
                          <w:rPr>
                            <w:rFonts w:ascii="仿宋_GB2312" w:hAnsi="仿宋_GB2312" w:cs="仿宋_GB2312" w:eastAsia="仿宋_GB2312"/>
                            <w:sz w:val="21"/>
                            <w:color w:val="000000"/>
                          </w:rPr>
                          <w:t>）</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每个</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运至指定地点</w:t>
                        </w:r>
                      </w:p>
                    </w:tc>
                  </w:tr>
                  <w:tr>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病床报废（</w:t>
                        </w:r>
                        <w:r>
                          <w:rPr>
                            <w:rFonts w:ascii="仿宋_GB2312" w:hAnsi="仿宋_GB2312" w:cs="仿宋_GB2312" w:eastAsia="仿宋_GB2312"/>
                            <w:sz w:val="21"/>
                            <w:color w:val="000000"/>
                          </w:rPr>
                          <w:t>搬运</w:t>
                        </w:r>
                        <w:r>
                          <w:rPr>
                            <w:rFonts w:ascii="仿宋_GB2312" w:hAnsi="仿宋_GB2312" w:cs="仿宋_GB2312" w:eastAsia="仿宋_GB2312"/>
                            <w:sz w:val="21"/>
                            <w:color w:val="000000"/>
                          </w:rPr>
                          <w:t>）</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每个</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运至指定地点</w:t>
                        </w:r>
                      </w:p>
                    </w:tc>
                  </w:tr>
                  <w:tr>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门锁维修</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每把</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柜锁维修</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每把</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科室零星搬运</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人次</w:t>
                        </w:r>
                        <w:r>
                          <w:rPr>
                            <w:rFonts w:ascii="仿宋_GB2312" w:hAnsi="仿宋_GB2312" w:cs="仿宋_GB2312" w:eastAsia="仿宋_GB2312"/>
                            <w:sz w:val="21"/>
                            <w:color w:val="000000"/>
                          </w:rPr>
                          <w:t>/小时</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送氧气罐</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木门维修</w:t>
                        </w:r>
                      </w:p>
                    </w:tc>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6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2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总计：</w:t>
                        </w:r>
                      </w:p>
                    </w:tc>
                    <w:tc>
                      <w:tcPr>
                        <w:tcW w:type="dxa" w:w="147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u w:val="single"/>
                          </w:rPr>
                          <w:t xml:space="preserve">        </w:t>
                        </w:r>
                        <w:r>
                          <w:rPr>
                            <w:rFonts w:ascii="仿宋_GB2312" w:hAnsi="仿宋_GB2312" w:cs="仿宋_GB2312" w:eastAsia="仿宋_GB2312"/>
                            <w:sz w:val="21"/>
                            <w:color w:val="000000"/>
                          </w:rPr>
                          <w:t>（保留小数点后两位</w:t>
                        </w:r>
                        <w:r>
                          <w:rPr>
                            <w:rFonts w:ascii="仿宋_GB2312" w:hAnsi="仿宋_GB2312" w:cs="仿宋_GB2312" w:eastAsia="仿宋_GB2312"/>
                            <w:sz w:val="21"/>
                            <w:color w:val="000000"/>
                          </w:rPr>
                          <w:t>)</w:t>
                        </w:r>
                      </w:p>
                    </w:tc>
                  </w:tr>
                </w:tbl>
                <w:p>
                  <w:pPr>
                    <w:pStyle w:val="null3"/>
                    <w:jc w:val="left"/>
                  </w:pPr>
                  <w:r>
                    <w:rPr>
                      <w:rFonts w:ascii="仿宋_GB2312" w:hAnsi="仿宋_GB2312" w:cs="仿宋_GB2312" w:eastAsia="仿宋_GB2312"/>
                      <w:sz w:val="21"/>
                      <w:b/>
                      <w:color w:val="000000"/>
                    </w:rPr>
                    <w:t>注：</w:t>
                  </w:r>
                  <w:r>
                    <w:rPr>
                      <w:rFonts w:ascii="仿宋_GB2312" w:hAnsi="仿宋_GB2312" w:cs="仿宋_GB2312" w:eastAsia="仿宋_GB2312"/>
                      <w:sz w:val="21"/>
                      <w:b/>
                      <w:color w:val="000000"/>
                    </w:rPr>
                    <w:t>1、此处所列清单项为暂定清单项，如项目实施过程中出现本表所列清单项之外的工程服务，由采购人确认后，供应商方可实施。</w:t>
                  </w:r>
                </w:p>
                <w:p>
                  <w:pPr>
                    <w:pStyle w:val="null3"/>
                    <w:jc w:val="left"/>
                  </w:pPr>
                  <w:r>
                    <w:rPr>
                      <w:rFonts w:ascii="仿宋_GB2312" w:hAnsi="仿宋_GB2312" w:cs="仿宋_GB2312" w:eastAsia="仿宋_GB2312"/>
                      <w:sz w:val="21"/>
                      <w:b/>
                      <w:color w:val="000000"/>
                    </w:rPr>
                    <w:t>2、表单中未列项目，根据维修内容和实际用工量计算，以总务科管理人员和使用科室签字工单为准。</w:t>
                  </w:r>
                </w:p>
                <w:p>
                  <w:pPr>
                    <w:pStyle w:val="null3"/>
                    <w:jc w:val="left"/>
                  </w:pPr>
                  <w:r>
                    <w:rPr>
                      <w:rFonts w:ascii="仿宋_GB2312" w:hAnsi="仿宋_GB2312" w:cs="仿宋_GB2312" w:eastAsia="仿宋_GB2312"/>
                      <w:sz w:val="21"/>
                      <w:b/>
                      <w:color w:val="000000"/>
                    </w:rPr>
                    <w:t>3、所有费用均为含税包干价。</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both"/>
                  </w:pPr>
                  <w:r>
                    <w:rPr>
                      <w:rFonts w:ascii="仿宋_GB2312" w:hAnsi="仿宋_GB2312" w:cs="仿宋_GB2312" w:eastAsia="仿宋_GB2312"/>
                      <w:sz w:val="21"/>
                      <w:b/>
                    </w:rPr>
                    <w:t>二、合同期限</w:t>
                  </w:r>
                </w:p>
                <w:p>
                  <w:pPr>
                    <w:pStyle w:val="null3"/>
                    <w:spacing w:after="165"/>
                    <w:ind w:firstLine="420"/>
                    <w:jc w:val="both"/>
                  </w:pPr>
                  <w:r>
                    <w:rPr>
                      <w:rFonts w:ascii="仿宋_GB2312" w:hAnsi="仿宋_GB2312" w:cs="仿宋_GB2312" w:eastAsia="仿宋_GB2312"/>
                      <w:sz w:val="21"/>
                      <w:color w:val="000000"/>
                    </w:rPr>
                    <w:t>自合同签订</w:t>
                  </w:r>
                  <w:r>
                    <w:rPr>
                      <w:rFonts w:ascii="仿宋_GB2312" w:hAnsi="仿宋_GB2312" w:cs="仿宋_GB2312" w:eastAsia="仿宋_GB2312"/>
                      <w:sz w:val="21"/>
                      <w:color w:val="000000"/>
                    </w:rPr>
                    <w:t>后至本合同金额</w:t>
                  </w:r>
                  <w:r>
                    <w:rPr>
                      <w:rFonts w:ascii="仿宋_GB2312" w:hAnsi="仿宋_GB2312" w:cs="仿宋_GB2312" w:eastAsia="仿宋_GB2312"/>
                      <w:sz w:val="21"/>
                      <w:color w:val="000000"/>
                    </w:rPr>
                    <w:t>45万元用完为止，最长期限为</w:t>
                  </w:r>
                  <w:r>
                    <w:rPr>
                      <w:rFonts w:ascii="仿宋_GB2312" w:hAnsi="仿宋_GB2312" w:cs="仿宋_GB2312" w:eastAsia="仿宋_GB2312"/>
                      <w:sz w:val="21"/>
                      <w:color w:val="000000"/>
                    </w:rPr>
                    <w:t>一年。</w:t>
                  </w:r>
                </w:p>
                <w:p>
                  <w:pPr>
                    <w:pStyle w:val="null3"/>
                    <w:spacing w:after="165"/>
                    <w:jc w:val="both"/>
                  </w:pPr>
                  <w:r>
                    <w:rPr>
                      <w:rFonts w:ascii="仿宋_GB2312" w:hAnsi="仿宋_GB2312" w:cs="仿宋_GB2312" w:eastAsia="仿宋_GB2312"/>
                      <w:sz w:val="21"/>
                      <w:b/>
                    </w:rPr>
                    <w:t>三、岗位配置及相关要求</w:t>
                  </w:r>
                </w:p>
                <w:p>
                  <w:pPr>
                    <w:pStyle w:val="null3"/>
                    <w:spacing w:after="165"/>
                    <w:ind w:firstLine="420"/>
                    <w:jc w:val="both"/>
                  </w:pPr>
                  <w:r>
                    <w:rPr>
                      <w:rFonts w:ascii="仿宋_GB2312" w:hAnsi="仿宋_GB2312" w:cs="仿宋_GB2312" w:eastAsia="仿宋_GB2312"/>
                      <w:sz w:val="21"/>
                    </w:rPr>
                    <w:t>1.该项目常驻维修人员不得少于</w:t>
                  </w:r>
                  <w:r>
                    <w:rPr>
                      <w:rFonts w:ascii="仿宋_GB2312" w:hAnsi="仿宋_GB2312" w:cs="仿宋_GB2312" w:eastAsia="仿宋_GB2312"/>
                      <w:sz w:val="21"/>
                    </w:rPr>
                    <w:t>4</w:t>
                  </w:r>
                  <w:r>
                    <w:rPr>
                      <w:rFonts w:ascii="仿宋_GB2312" w:hAnsi="仿宋_GB2312" w:cs="仿宋_GB2312" w:eastAsia="仿宋_GB2312"/>
                      <w:sz w:val="21"/>
                    </w:rPr>
                    <w:t>人（不含管理人员，</w:t>
                  </w:r>
                  <w:r>
                    <w:rPr>
                      <w:rFonts w:ascii="仿宋_GB2312" w:hAnsi="仿宋_GB2312" w:cs="仿宋_GB2312" w:eastAsia="仿宋_GB2312"/>
                      <w:sz w:val="21"/>
                    </w:rPr>
                    <w:t>4</w:t>
                  </w:r>
                  <w:r>
                    <w:rPr>
                      <w:rFonts w:ascii="仿宋_GB2312" w:hAnsi="仿宋_GB2312" w:cs="仿宋_GB2312" w:eastAsia="仿宋_GB2312"/>
                      <w:sz w:val="21"/>
                    </w:rPr>
                    <w:t>人中需含电焊工一名）。在进驻项目前一周，乙方须将各岗位配置人员的身份证、上岗证、专业技术证书或职业技能资格证书在甲方备案，服务期间乙方作业人员应自带所需工具。</w:t>
                  </w:r>
                </w:p>
                <w:p>
                  <w:pPr>
                    <w:pStyle w:val="null3"/>
                    <w:spacing w:after="165"/>
                    <w:ind w:firstLine="420"/>
                    <w:jc w:val="both"/>
                  </w:pPr>
                  <w:r>
                    <w:rPr>
                      <w:rFonts w:ascii="仿宋_GB2312" w:hAnsi="仿宋_GB2312" w:cs="仿宋_GB2312" w:eastAsia="仿宋_GB2312"/>
                      <w:sz w:val="21"/>
                    </w:rPr>
                    <w:t>2.在乙方服务过程中，</w:t>
                  </w:r>
                  <w:r>
                    <w:rPr>
                      <w:rFonts w:ascii="仿宋_GB2312" w:hAnsi="仿宋_GB2312" w:cs="仿宋_GB2312" w:eastAsia="仿宋_GB2312"/>
                      <w:sz w:val="21"/>
                    </w:rPr>
                    <w:t>服务人员须认真履行岗位职责（即甲方服务要求），</w:t>
                  </w:r>
                  <w:r>
                    <w:rPr>
                      <w:rFonts w:ascii="仿宋_GB2312" w:hAnsi="仿宋_GB2312" w:cs="仿宋_GB2312" w:eastAsia="仿宋_GB2312"/>
                      <w:sz w:val="21"/>
                    </w:rPr>
                    <w:t>如因人员劳动效率不高，达不到招标文件中的质量要求，乙方应无条件增加服务人员或时间，以确保服务质量要求。否则，甲方将按照当季服务费的</w:t>
                  </w:r>
                  <w:r>
                    <w:rPr>
                      <w:rFonts w:ascii="仿宋_GB2312" w:hAnsi="仿宋_GB2312" w:cs="仿宋_GB2312" w:eastAsia="仿宋_GB2312"/>
                      <w:sz w:val="21"/>
                    </w:rPr>
                    <w:t>80%支付，情节严重的，甲方有权单方终止合同。</w:t>
                  </w:r>
                </w:p>
                <w:p>
                  <w:pPr>
                    <w:pStyle w:val="null3"/>
                    <w:spacing w:after="165"/>
                    <w:ind w:firstLine="420"/>
                    <w:jc w:val="both"/>
                  </w:pPr>
                  <w:r>
                    <w:rPr>
                      <w:rFonts w:ascii="仿宋_GB2312" w:hAnsi="仿宋_GB2312" w:cs="仿宋_GB2312" w:eastAsia="仿宋_GB2312"/>
                      <w:sz w:val="21"/>
                    </w:rPr>
                    <w:t>（</w:t>
                  </w:r>
                  <w:r>
                    <w:rPr>
                      <w:rFonts w:ascii="仿宋_GB2312" w:hAnsi="仿宋_GB2312" w:cs="仿宋_GB2312" w:eastAsia="仿宋_GB2312"/>
                      <w:sz w:val="21"/>
                    </w:rPr>
                    <w:t>1）派驻的项目经理需责任心强，具有一定的工作经验和业绩，具有一定的沟通协调能力和文字表达能力，一般情况下所派驻的项目经理不得随意更换，如必须更换，必须征得甲方书面同意。</w:t>
                  </w:r>
                </w:p>
                <w:p>
                  <w:pPr>
                    <w:pStyle w:val="null3"/>
                    <w:spacing w:after="165"/>
                    <w:ind w:firstLine="420"/>
                    <w:jc w:val="both"/>
                  </w:pPr>
                  <w:r>
                    <w:rPr>
                      <w:rFonts w:ascii="仿宋_GB2312" w:hAnsi="仿宋_GB2312" w:cs="仿宋_GB2312" w:eastAsia="仿宋_GB2312"/>
                      <w:sz w:val="21"/>
                    </w:rPr>
                    <w:t>（</w:t>
                  </w:r>
                  <w:r>
                    <w:rPr>
                      <w:rFonts w:ascii="仿宋_GB2312" w:hAnsi="仿宋_GB2312" w:cs="仿宋_GB2312" w:eastAsia="仿宋_GB2312"/>
                      <w:sz w:val="21"/>
                    </w:rPr>
                    <w:t>2）新的管理团队上岗前必须通过专业培训，更换的管理人员必须提前三天到岗办理交接手续，员工必须一周内到岗，并充分听取甲方意见，否则，旧的管理团队不得离开岗位。项目经理的主管副总每月必须保证至少有一天在本院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3）派驻的从业人员，法定工作年龄，身体健康。</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4）乙方须对作业人员进行安全生产作业培训，保证作业人员的人身安全。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5）本合同服务期内，乙方作业人员的人身安全由乙方公司全权负责。</w:t>
                  </w:r>
                </w:p>
                <w:p>
                  <w:pPr>
                    <w:pStyle w:val="null3"/>
                    <w:spacing w:after="165"/>
                    <w:jc w:val="both"/>
                  </w:pPr>
                  <w:r>
                    <w:rPr>
                      <w:rFonts w:ascii="仿宋_GB2312" w:hAnsi="仿宋_GB2312" w:cs="仿宋_GB2312" w:eastAsia="仿宋_GB2312"/>
                      <w:sz w:val="21"/>
                      <w:b/>
                    </w:rPr>
                    <w:t>四、服务质量考核</w:t>
                  </w:r>
                </w:p>
                <w:p>
                  <w:pPr>
                    <w:pStyle w:val="null3"/>
                    <w:spacing w:after="165"/>
                    <w:ind w:firstLine="420"/>
                    <w:jc w:val="both"/>
                  </w:pPr>
                  <w:r>
                    <w:rPr>
                      <w:rFonts w:ascii="仿宋_GB2312" w:hAnsi="仿宋_GB2312" w:cs="仿宋_GB2312" w:eastAsia="仿宋_GB2312"/>
                      <w:sz w:val="21"/>
                    </w:rPr>
                    <w:t>1.每月甲方根据乙方具体的维修工作量、工作内容、服务态度对乙方的服务进行考核，具体有现场巡查考核、工作汇报考核、电话回访护士长考核、满意度调查等综合评分考核方式</w:t>
                  </w:r>
                  <w:r>
                    <w:rPr>
                      <w:rFonts w:ascii="仿宋_GB2312" w:hAnsi="仿宋_GB2312" w:cs="仿宋_GB2312" w:eastAsia="仿宋_GB2312"/>
                      <w:sz w:val="21"/>
                    </w:rPr>
                    <w:t>。</w:t>
                  </w:r>
                </w:p>
                <w:p>
                  <w:pPr>
                    <w:pStyle w:val="null3"/>
                    <w:spacing w:after="165"/>
                    <w:ind w:firstLine="420"/>
                    <w:jc w:val="both"/>
                  </w:pPr>
                  <w:r>
                    <w:rPr>
                      <w:rFonts w:ascii="仿宋_GB2312" w:hAnsi="仿宋_GB2312" w:cs="仿宋_GB2312" w:eastAsia="仿宋_GB2312"/>
                      <w:sz w:val="21"/>
                    </w:rPr>
                    <w:t>2.乙方必须于每月10日前向甲方提供当月各岗位服务人员名单和作业人员分布表，以备检查和抽查使用。</w:t>
                  </w:r>
                </w:p>
                <w:p>
                  <w:pPr>
                    <w:pStyle w:val="null3"/>
                    <w:spacing w:after="165"/>
                    <w:ind w:firstLine="420"/>
                    <w:jc w:val="both"/>
                  </w:pPr>
                  <w:r>
                    <w:rPr>
                      <w:rFonts w:ascii="仿宋_GB2312" w:hAnsi="仿宋_GB2312" w:cs="仿宋_GB2312" w:eastAsia="仿宋_GB2312"/>
                      <w:sz w:val="21"/>
                    </w:rPr>
                    <w:t>3.经综合考核，乙方</w:t>
                  </w:r>
                  <w:r>
                    <w:rPr>
                      <w:rFonts w:ascii="仿宋_GB2312" w:hAnsi="仿宋_GB2312" w:cs="仿宋_GB2312" w:eastAsia="仿宋_GB2312"/>
                      <w:sz w:val="21"/>
                      <w:color w:val="000000"/>
                    </w:rPr>
                    <w:t>累计</w:t>
                  </w:r>
                  <w:r>
                    <w:rPr>
                      <w:rFonts w:ascii="仿宋_GB2312" w:hAnsi="仿宋_GB2312" w:cs="仿宋_GB2312" w:eastAsia="仿宋_GB2312"/>
                      <w:sz w:val="21"/>
                    </w:rPr>
                    <w:t>三个月考核不合格，甲方随时终止合同。</w:t>
                  </w:r>
                </w:p>
                <w:p>
                  <w:pPr>
                    <w:pStyle w:val="null3"/>
                    <w:spacing w:after="165"/>
                    <w:jc w:val="both"/>
                  </w:pPr>
                  <w:r>
                    <w:rPr>
                      <w:rFonts w:ascii="仿宋_GB2312" w:hAnsi="仿宋_GB2312" w:cs="仿宋_GB2312" w:eastAsia="仿宋_GB2312"/>
                      <w:sz w:val="21"/>
                      <w:b/>
                    </w:rPr>
                    <w:t>五、项目服务范围包括：</w:t>
                  </w:r>
                </w:p>
                <w:p>
                  <w:pPr>
                    <w:pStyle w:val="null3"/>
                    <w:spacing w:after="165"/>
                    <w:ind w:firstLine="420"/>
                    <w:jc w:val="both"/>
                  </w:pPr>
                  <w:r>
                    <w:rPr>
                      <w:rFonts w:ascii="仿宋_GB2312" w:hAnsi="仿宋_GB2312" w:cs="仿宋_GB2312" w:eastAsia="仿宋_GB2312"/>
                      <w:sz w:val="21"/>
                    </w:rPr>
                    <w:t>1.日常维修及巡检记录工作（本项工作工费已包含在报价清单项中，不另行计费）。</w:t>
                  </w:r>
                </w:p>
                <w:p>
                  <w:pPr>
                    <w:pStyle w:val="null3"/>
                    <w:spacing w:after="165"/>
                    <w:ind w:firstLine="420"/>
                    <w:jc w:val="both"/>
                  </w:pPr>
                  <w:r>
                    <w:rPr>
                      <w:rFonts w:ascii="仿宋_GB2312" w:hAnsi="仿宋_GB2312" w:cs="仿宋_GB2312" w:eastAsia="仿宋_GB2312"/>
                      <w:sz w:val="21"/>
                    </w:rPr>
                    <w:t>2.零星用工。</w:t>
                  </w:r>
                </w:p>
                <w:p>
                  <w:pPr>
                    <w:pStyle w:val="null3"/>
                    <w:spacing w:after="165"/>
                    <w:ind w:firstLine="420"/>
                    <w:jc w:val="both"/>
                  </w:pPr>
                  <w:r>
                    <w:rPr>
                      <w:rFonts w:ascii="仿宋_GB2312" w:hAnsi="仿宋_GB2312" w:cs="仿宋_GB2312" w:eastAsia="仿宋_GB2312"/>
                      <w:sz w:val="21"/>
                    </w:rPr>
                    <w:t>3.</w:t>
                  </w:r>
                  <w:r>
                    <w:rPr>
                      <w:rFonts w:ascii="仿宋_GB2312" w:hAnsi="仿宋_GB2312" w:cs="仿宋_GB2312" w:eastAsia="仿宋_GB2312"/>
                      <w:sz w:val="21"/>
                    </w:rPr>
                    <w:t>医院小型维修项目</w:t>
                  </w:r>
                  <w:r>
                    <w:rPr>
                      <w:rFonts w:ascii="仿宋_GB2312" w:hAnsi="仿宋_GB2312" w:cs="仿宋_GB2312" w:eastAsia="仿宋_GB2312"/>
                      <w:sz w:val="21"/>
                    </w:rPr>
                    <w:t>。</w:t>
                  </w:r>
                </w:p>
                <w:p>
                  <w:pPr>
                    <w:pStyle w:val="null3"/>
                    <w:spacing w:after="165"/>
                    <w:ind w:firstLine="420"/>
                    <w:jc w:val="both"/>
                  </w:pPr>
                  <w:r>
                    <w:rPr>
                      <w:rFonts w:ascii="仿宋_GB2312" w:hAnsi="仿宋_GB2312" w:cs="仿宋_GB2312" w:eastAsia="仿宋_GB2312"/>
                      <w:sz w:val="21"/>
                    </w:rPr>
                    <w:t>1）总体要求</w:t>
                  </w:r>
                </w:p>
                <w:p>
                  <w:pPr>
                    <w:pStyle w:val="null3"/>
                    <w:spacing w:after="165"/>
                    <w:ind w:firstLine="560"/>
                    <w:jc w:val="both"/>
                  </w:pPr>
                  <w:r>
                    <w:rPr>
                      <w:rFonts w:ascii="仿宋_GB2312" w:hAnsi="仿宋_GB2312" w:cs="仿宋_GB2312" w:eastAsia="仿宋_GB2312"/>
                      <w:sz w:val="21"/>
                    </w:rPr>
                    <w:t>通过标准化、专业化、规范化的服务，确保医院构筑物正常使用，保持房屋建筑物设施完好，维护医院的医疗秩序。同时通过强化风险管理，实行</w:t>
                  </w:r>
                  <w:r>
                    <w:rPr>
                      <w:rFonts w:ascii="仿宋_GB2312" w:hAnsi="仿宋_GB2312" w:cs="仿宋_GB2312" w:eastAsia="仿宋_GB2312"/>
                      <w:sz w:val="21"/>
                    </w:rPr>
                    <w:t>“养修并重，预防为主”的方针，有效地提高构筑物的使用寿命。</w:t>
                  </w:r>
                </w:p>
                <w:p>
                  <w:pPr>
                    <w:pStyle w:val="null3"/>
                    <w:spacing w:after="165"/>
                    <w:jc w:val="both"/>
                  </w:pPr>
                  <w:r>
                    <w:rPr>
                      <w:rFonts w:ascii="仿宋_GB2312" w:hAnsi="仿宋_GB2312" w:cs="仿宋_GB2312" w:eastAsia="仿宋_GB2312"/>
                      <w:sz w:val="21"/>
                    </w:rPr>
                    <w:t>2）日常维修工作（包括且不限于以下内容）</w:t>
                  </w:r>
                </w:p>
                <w:tbl>
                  <w:tblPr>
                    <w:tblBorders>
                      <w:top w:val="none" w:color="000000" w:sz="4"/>
                      <w:left w:val="none" w:color="000000" w:sz="4"/>
                      <w:bottom w:val="none" w:color="000000" w:sz="4"/>
                      <w:right w:val="none" w:color="000000" w:sz="4"/>
                      <w:insideH w:val="none"/>
                      <w:insideV w:val="none"/>
                    </w:tblBorders>
                  </w:tblPr>
                  <w:tblGrid>
                    <w:gridCol w:w="838"/>
                    <w:gridCol w:w="2078"/>
                  </w:tblGrid>
                  <w:tr>
                    <w:tc>
                      <w:tcPr>
                        <w:tcW w:type="dxa" w:w="8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维修类型</w:t>
                        </w:r>
                      </w:p>
                    </w:tc>
                    <w:tc>
                      <w:tcPr>
                        <w:tcW w:type="dxa" w:w="20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具体内容</w:t>
                        </w: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各类木门</w:t>
                        </w:r>
                      </w:p>
                    </w:tc>
                    <w:tc>
                      <w:tcPr>
                        <w:tcW w:type="dxa" w:w="2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木门开锁、维修（更换）木门锁具；维修（更换）闭门器；维修（更换）门把手、门轴合页、门吸、插销等。</w:t>
                        </w: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塑钢窗、铝合金窗</w:t>
                        </w:r>
                      </w:p>
                    </w:tc>
                    <w:tc>
                      <w:tcPr>
                        <w:tcW w:type="dxa" w:w="2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维修（更换）窗户轨道、维修更换月牙锁；维修（更换）窗户限位器；更换窗纱、玻璃等。</w:t>
                        </w: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各类吊顶</w:t>
                        </w:r>
                      </w:p>
                    </w:tc>
                    <w:tc>
                      <w:tcPr>
                        <w:tcW w:type="dxa" w:w="2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维修（更换）各类吊顶面板、维修（更换）吊顶主副龙骨及吊筋。</w:t>
                        </w: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轻质隔墙、隔断</w:t>
                        </w:r>
                      </w:p>
                    </w:tc>
                    <w:tc>
                      <w:tcPr>
                        <w:tcW w:type="dxa" w:w="2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维修、制作安装轻质隔墙；维修、制作安装卫生间各类隔断。</w:t>
                        </w: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办公家具</w:t>
                        </w:r>
                      </w:p>
                    </w:tc>
                    <w:tc>
                      <w:tcPr>
                        <w:tcW w:type="dxa" w:w="2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维修（更换）各类文件柜锁；维修（更换）抽屉键盘轨道、维修（更换）抽屉锁。</w:t>
                        </w: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w:t>
                        </w:r>
                      </w:p>
                    </w:tc>
                    <w:tc>
                      <w:tcPr>
                        <w:tcW w:type="dxa" w:w="2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维修窗帘、隔帘轨道；拆除、安装办公桌椅；维修（更换）墙面铝塑板、管道铝塑板；维修（更换）各类管道进锁具；安装、维修各类挂钩；维修（更换）各类排气扇；粘贴各类玻璃纸；维修（更换）卫生间不锈钢扶手；清运医疗区建筑垃圾等。</w:t>
                        </w: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室内墙面</w:t>
                        </w:r>
                      </w:p>
                    </w:tc>
                    <w:tc>
                      <w:tcPr>
                        <w:tcW w:type="dxa" w:w="2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维修（更换）干挂石材墙面、瓷砖墙面；粉刷、修补乳胶漆墙面；</w:t>
                        </w: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室内地面</w:t>
                        </w:r>
                      </w:p>
                    </w:tc>
                    <w:tc>
                      <w:tcPr>
                        <w:tcW w:type="dxa" w:w="2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维修（更换）石材地砖、瓷片地砖；维修（更换）塑胶地板；维修（更换）瓷砖踢脚线；室内地面水泥砂浆找平；</w:t>
                        </w: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室外墙面</w:t>
                        </w:r>
                      </w:p>
                    </w:tc>
                    <w:tc>
                      <w:tcPr>
                        <w:tcW w:type="dxa" w:w="2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维修（更换）住院综合楼、门诊楼外墙瓷砖、外墙保温；维修（更换）外墙乳胶漆；维修漏水等</w:t>
                        </w: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室外地面</w:t>
                        </w:r>
                      </w:p>
                    </w:tc>
                    <w:tc>
                      <w:tcPr>
                        <w:tcW w:type="dxa" w:w="2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维修（更换）混凝土、沥青路面；维修（更换）石材地面；维修（更换）人行道砖、道牙；维修（更换）石材地面。</w:t>
                        </w: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其他</w:t>
                        </w:r>
                      </w:p>
                    </w:tc>
                    <w:tc>
                      <w:tcPr>
                        <w:tcW w:type="dxa" w:w="2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维修（更换）</w:t>
                        </w:r>
                        <w:r>
                          <w:rPr>
                            <w:rFonts w:ascii="仿宋_GB2312" w:hAnsi="仿宋_GB2312" w:cs="仿宋_GB2312" w:eastAsia="仿宋_GB2312"/>
                            <w:sz w:val="21"/>
                          </w:rPr>
                          <w:t>供水、排水及</w:t>
                        </w:r>
                        <w:r>
                          <w:rPr>
                            <w:rFonts w:ascii="仿宋_GB2312" w:hAnsi="仿宋_GB2312" w:cs="仿宋_GB2312" w:eastAsia="仿宋_GB2312"/>
                            <w:sz w:val="21"/>
                          </w:rPr>
                          <w:t>雨水管道</w:t>
                        </w:r>
                        <w:r>
                          <w:rPr>
                            <w:rFonts w:ascii="仿宋_GB2312" w:hAnsi="仿宋_GB2312" w:cs="仿宋_GB2312" w:eastAsia="仿宋_GB2312"/>
                            <w:sz w:val="21"/>
                          </w:rPr>
                          <w:t>，</w:t>
                        </w:r>
                        <w:r>
                          <w:rPr>
                            <w:rFonts w:ascii="仿宋_GB2312" w:hAnsi="仿宋_GB2312" w:cs="仿宋_GB2312" w:eastAsia="仿宋_GB2312"/>
                            <w:sz w:val="21"/>
                          </w:rPr>
                          <w:t>巡查水泵房等</w:t>
                        </w:r>
                        <w:r>
                          <w:rPr>
                            <w:rFonts w:ascii="仿宋_GB2312" w:hAnsi="仿宋_GB2312" w:cs="仿宋_GB2312" w:eastAsia="仿宋_GB2312"/>
                            <w:sz w:val="21"/>
                          </w:rPr>
                          <w:t>；制作安装大理石台面洗手台；拆卸、送洗、安装、病区隔帘；院内各科室办公设备、办公家具、病床、公共区域座椅等搬运工作；院内木质包装箱、建筑维修垃圾清运工作；清理院内雨水井、建筑屋面垃圾；维修（更换）室外花坛铁艺围栏；室外栏杆刷漆等</w:t>
                        </w:r>
                      </w:p>
                    </w:tc>
                  </w:tr>
                </w:tbl>
                <w:p>
                  <w:pPr>
                    <w:pStyle w:val="null3"/>
                    <w:numPr>
                      <w:ilvl w:val="0"/>
                      <w:numId w:val="2"/>
                    </w:numPr>
                    <w:spacing w:after="165"/>
                    <w:jc w:val="both"/>
                  </w:pPr>
                  <w:r>
                    <w:rPr>
                      <w:rFonts w:ascii="仿宋_GB2312" w:hAnsi="仿宋_GB2312" w:cs="仿宋_GB2312" w:eastAsia="仿宋_GB2312"/>
                      <w:sz w:val="21"/>
                    </w:rPr>
                    <w:t>材质要求</w:t>
                  </w:r>
                </w:p>
                <w:tbl>
                  <w:tblPr>
                    <w:tblBorders>
                      <w:top w:val="none" w:color="000000" w:sz="4"/>
                      <w:left w:val="none" w:color="000000" w:sz="4"/>
                      <w:bottom w:val="none" w:color="000000" w:sz="4"/>
                      <w:right w:val="none" w:color="000000" w:sz="4"/>
                      <w:insideH w:val="none"/>
                      <w:insideV w:val="none"/>
                    </w:tblBorders>
                  </w:tblPr>
                  <w:tblGrid>
                    <w:gridCol w:w="956"/>
                    <w:gridCol w:w="1960"/>
                  </w:tblGrid>
                  <w:tr>
                    <w:tc>
                      <w:tcPr>
                        <w:tcW w:type="dxa" w:w="9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材料</w:t>
                        </w:r>
                      </w:p>
                    </w:tc>
                    <w:tc>
                      <w:tcPr>
                        <w:tcW w:type="dxa" w:w="19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品牌</w:t>
                        </w:r>
                      </w:p>
                    </w:tc>
                  </w:tr>
                  <w:tr>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乳胶漆</w:t>
                        </w:r>
                        <w:r>
                          <w:rPr>
                            <w:rFonts w:ascii="仿宋_GB2312" w:hAnsi="仿宋_GB2312" w:cs="仿宋_GB2312" w:eastAsia="仿宋_GB2312"/>
                            <w:sz w:val="21"/>
                          </w:rPr>
                          <w:t>1</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多乐士</w:t>
                        </w:r>
                        <w:r>
                          <w:rPr>
                            <w:rFonts w:ascii="仿宋_GB2312" w:hAnsi="仿宋_GB2312" w:cs="仿宋_GB2312" w:eastAsia="仿宋_GB2312"/>
                            <w:sz w:val="21"/>
                          </w:rPr>
                          <w:t>A846,立邦金装净味五合一，紫荆花小清爽竹炭净味二合一</w:t>
                        </w:r>
                      </w:p>
                    </w:tc>
                  </w:tr>
                  <w:tr>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乳胶漆</w:t>
                        </w:r>
                        <w:r>
                          <w:rPr>
                            <w:rFonts w:ascii="仿宋_GB2312" w:hAnsi="仿宋_GB2312" w:cs="仿宋_GB2312" w:eastAsia="仿宋_GB2312"/>
                            <w:sz w:val="21"/>
                          </w:rPr>
                          <w:t>2</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多乐士（</w:t>
                        </w:r>
                        <w:r>
                          <w:rPr>
                            <w:rFonts w:ascii="仿宋_GB2312" w:hAnsi="仿宋_GB2312" w:cs="仿宋_GB2312" w:eastAsia="仿宋_GB2312"/>
                            <w:sz w:val="21"/>
                          </w:rPr>
                          <w:t>Dulux）A991家丽安净味内墙乳胶漆；立邦净味120，二合一。</w:t>
                        </w:r>
                      </w:p>
                    </w:tc>
                  </w:tr>
                  <w:tr>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铝塑板</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15丝以上、中档品牌</w:t>
                        </w:r>
                      </w:p>
                    </w:tc>
                  </w:tr>
                  <w:tr>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执手锁</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大锁体、中档品牌</w:t>
                        </w:r>
                      </w:p>
                    </w:tc>
                  </w:tr>
                  <w:tr>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木地板</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菲林格尔，圣象，大自然</w:t>
                        </w:r>
                      </w:p>
                    </w:tc>
                  </w:tr>
                  <w:tr>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瓷砖</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马可波罗，蒙娜丽莎，东鹏</w:t>
                        </w:r>
                      </w:p>
                    </w:tc>
                  </w:tr>
                  <w:tr>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铝扣板</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友邦，奥普，容声</w:t>
                        </w:r>
                      </w:p>
                    </w:tc>
                  </w:tr>
                  <w:tr>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纸面石膏板</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龙牌，拜尔，兔宝宝</w:t>
                        </w:r>
                      </w:p>
                    </w:tc>
                  </w:tr>
                  <w:tr>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木工板</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千年舟，兔宝宝，伟业</w:t>
                        </w:r>
                      </w:p>
                    </w:tc>
                  </w:tr>
                  <w:tr>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竹木纤维板</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9.2mm厚，600mm宽；环保：满足室内环境GB55016-2021《建筑环境通用规范》；防火级别：C1。</w:t>
                        </w:r>
                      </w:p>
                    </w:tc>
                  </w:tr>
                  <w:tr>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花岗岩石材</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25mm厚，中档品牌</w:t>
                        </w:r>
                      </w:p>
                    </w:tc>
                  </w:tr>
                  <w:tr>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大理石石材</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15mm厚，中档品牌</w:t>
                        </w:r>
                      </w:p>
                    </w:tc>
                  </w:tr>
                  <w:tr>
                    <w:tc>
                      <w:tcPr>
                        <w:tcW w:type="dxa" w:w="9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防水材料</w:t>
                        </w:r>
                      </w:p>
                    </w:tc>
                    <w:tc>
                      <w:tcPr>
                        <w:tcW w:type="dxa" w:w="19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雨中情</w:t>
                        </w:r>
                        <w:r>
                          <w:rPr>
                            <w:rFonts w:ascii="仿宋_GB2312" w:hAnsi="仿宋_GB2312" w:cs="仿宋_GB2312" w:eastAsia="仿宋_GB2312"/>
                            <w:sz w:val="21"/>
                          </w:rPr>
                          <w:t xml:space="preserve">  </w:t>
                        </w:r>
                        <w:r>
                          <w:rPr>
                            <w:rFonts w:ascii="仿宋_GB2312" w:hAnsi="仿宋_GB2312" w:cs="仿宋_GB2312" w:eastAsia="仿宋_GB2312"/>
                            <w:sz w:val="21"/>
                          </w:rPr>
                          <w:t>东方雨虹</w:t>
                        </w:r>
                        <w:r>
                          <w:rPr>
                            <w:rFonts w:ascii="仿宋_GB2312" w:hAnsi="仿宋_GB2312" w:cs="仿宋_GB2312" w:eastAsia="仿宋_GB2312"/>
                            <w:sz w:val="21"/>
                          </w:rPr>
                          <w:t xml:space="preserve">  </w:t>
                        </w:r>
                        <w:r>
                          <w:rPr>
                            <w:rFonts w:ascii="仿宋_GB2312" w:hAnsi="仿宋_GB2312" w:cs="仿宋_GB2312" w:eastAsia="仿宋_GB2312"/>
                            <w:sz w:val="21"/>
                          </w:rPr>
                          <w:t>卓宝</w:t>
                        </w:r>
                      </w:p>
                    </w:tc>
                  </w:tr>
                </w:tbl>
                <w:p>
                  <w:pPr>
                    <w:pStyle w:val="null3"/>
                    <w:spacing w:after="165"/>
                    <w:jc w:val="both"/>
                  </w:pPr>
                  <w:r>
                    <w:rPr>
                      <w:rFonts w:ascii="仿宋_GB2312" w:hAnsi="仿宋_GB2312" w:cs="仿宋_GB2312" w:eastAsia="仿宋_GB2312"/>
                      <w:sz w:val="21"/>
                      <w:b/>
                    </w:rPr>
                    <w:t>注：所列品牌供参考，所选品牌和品质应优于或等同该品牌。</w:t>
                  </w:r>
                </w:p>
                <w:p>
                  <w:pPr>
                    <w:pStyle w:val="null3"/>
                    <w:spacing w:after="165"/>
                    <w:ind w:firstLine="420"/>
                    <w:jc w:val="both"/>
                  </w:pPr>
                  <w:r>
                    <w:rPr>
                      <w:rFonts w:ascii="仿宋_GB2312" w:hAnsi="仿宋_GB2312" w:cs="仿宋_GB2312" w:eastAsia="仿宋_GB2312"/>
                      <w:sz w:val="21"/>
                    </w:rPr>
                    <w:t>4）服务时间</w:t>
                  </w:r>
                </w:p>
                <w:p>
                  <w:pPr>
                    <w:pStyle w:val="null3"/>
                    <w:spacing w:after="165"/>
                    <w:ind w:firstLine="420"/>
                    <w:jc w:val="both"/>
                  </w:pPr>
                  <w:r>
                    <w:rPr>
                      <w:rFonts w:ascii="仿宋_GB2312" w:hAnsi="仿宋_GB2312" w:cs="仿宋_GB2312" w:eastAsia="仿宋_GB2312"/>
                      <w:sz w:val="21"/>
                    </w:rPr>
                    <w:t>医院医疗工作的特殊性，决定着部分工作必须全年全天工作制，为医院医疗工作提供保障，所以要有</w:t>
                  </w:r>
                  <w:r>
                    <w:rPr>
                      <w:rFonts w:ascii="仿宋_GB2312" w:hAnsi="仿宋_GB2312" w:cs="仿宋_GB2312" w:eastAsia="仿宋_GB2312"/>
                      <w:sz w:val="21"/>
                    </w:rPr>
                    <w:t>24小时值班制度。需要有值班人员在岗，确保医院维修工作。</w:t>
                  </w:r>
                </w:p>
                <w:p>
                  <w:pPr>
                    <w:pStyle w:val="null3"/>
                    <w:spacing w:after="165"/>
                    <w:ind w:firstLine="420"/>
                    <w:jc w:val="both"/>
                  </w:pPr>
                  <w:r>
                    <w:rPr>
                      <w:rFonts w:ascii="仿宋_GB2312" w:hAnsi="仿宋_GB2312" w:cs="仿宋_GB2312" w:eastAsia="仿宋_GB2312"/>
                      <w:sz w:val="21"/>
                    </w:rPr>
                    <w:t>5）服务方式</w:t>
                  </w:r>
                </w:p>
                <w:p>
                  <w:pPr>
                    <w:pStyle w:val="null3"/>
                    <w:ind w:firstLine="420"/>
                    <w:jc w:val="both"/>
                  </w:pPr>
                  <w:r>
                    <w:rPr>
                      <w:rFonts w:ascii="仿宋_GB2312" w:hAnsi="仿宋_GB2312" w:cs="仿宋_GB2312" w:eastAsia="仿宋_GB2312"/>
                      <w:sz w:val="21"/>
                      <w:color w:val="000000"/>
                    </w:rPr>
                    <w:t>本项目</w:t>
                  </w:r>
                  <w:r>
                    <w:rPr>
                      <w:rFonts w:ascii="仿宋_GB2312" w:hAnsi="仿宋_GB2312" w:cs="仿宋_GB2312" w:eastAsia="仿宋_GB2312"/>
                      <w:sz w:val="21"/>
                      <w:color w:val="000000"/>
                    </w:rPr>
                    <w:t>除零星用工外，供应商须提供实施相关服务的工具及材料</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rPr>
                    <w:t>报价明细表列出的项目，合同期内不再调整人工费和材料费。</w:t>
                  </w:r>
                </w:p>
                <w:p>
                  <w:pPr>
                    <w:pStyle w:val="null3"/>
                    <w:ind w:firstLine="420"/>
                    <w:jc w:val="both"/>
                  </w:pPr>
                  <w:r>
                    <w:rPr>
                      <w:rFonts w:ascii="仿宋_GB2312" w:hAnsi="仿宋_GB2312" w:cs="仿宋_GB2312" w:eastAsia="仿宋_GB2312"/>
                      <w:sz w:val="21"/>
                    </w:rPr>
                    <w:t>本项目不得分包、转包。</w:t>
                  </w:r>
                </w:p>
                <w:p>
                  <w:pPr>
                    <w:pStyle w:val="null3"/>
                    <w:spacing w:after="165"/>
                    <w:ind w:firstLine="420"/>
                    <w:jc w:val="both"/>
                  </w:pPr>
                  <w:r>
                    <w:rPr>
                      <w:rFonts w:ascii="仿宋_GB2312" w:hAnsi="仿宋_GB2312" w:cs="仿宋_GB2312" w:eastAsia="仿宋_GB2312"/>
                      <w:sz w:val="21"/>
                    </w:rPr>
                    <w:t>6）服务人员要求</w:t>
                  </w:r>
                  <w:r>
                    <w:rPr>
                      <w:rFonts w:ascii="仿宋_GB2312" w:hAnsi="仿宋_GB2312" w:cs="仿宋_GB2312" w:eastAsia="仿宋_GB2312"/>
                      <w:sz w:val="21"/>
                    </w:rPr>
                    <w:t>l</w:t>
                  </w:r>
                </w:p>
                <w:p>
                  <w:pPr>
                    <w:pStyle w:val="null3"/>
                    <w:spacing w:after="165"/>
                    <w:ind w:firstLine="420"/>
                    <w:jc w:val="both"/>
                  </w:pPr>
                  <w:r>
                    <w:rPr>
                      <w:rFonts w:ascii="仿宋_GB2312" w:hAnsi="仿宋_GB2312" w:cs="仿宋_GB2312" w:eastAsia="仿宋_GB2312"/>
                      <w:sz w:val="21"/>
                    </w:rPr>
                    <w:t>本项目服务须配备相关管理人员，包括现场管理人员、专业技术及操作人员，项目经理应取得建筑工程贰级及以上建造师注册证书，掌握基本的建筑法律法规。专业技术、操作人员有资格证书的需要提供证书。投标文件中确定的项目负责人（项目经理）具有</w:t>
                  </w:r>
                  <w:r>
                    <w:rPr>
                      <w:rFonts w:ascii="仿宋_GB2312" w:hAnsi="仿宋_GB2312" w:cs="仿宋_GB2312" w:eastAsia="仿宋_GB2312"/>
                      <w:sz w:val="21"/>
                    </w:rPr>
                    <w:t>建安</w:t>
                  </w:r>
                  <w:r>
                    <w:rPr>
                      <w:rFonts w:ascii="仿宋_GB2312" w:hAnsi="仿宋_GB2312" w:cs="仿宋_GB2312" w:eastAsia="仿宋_GB2312"/>
                      <w:sz w:val="21"/>
                    </w:rPr>
                    <w:t>B类证书，证书须齐全且在有效期内。</w:t>
                  </w:r>
                </w:p>
                <w:p>
                  <w:pPr>
                    <w:pStyle w:val="null3"/>
                    <w:jc w:val="both"/>
                  </w:pPr>
                  <w:r>
                    <w:rPr>
                      <w:rFonts w:ascii="仿宋_GB2312" w:hAnsi="仿宋_GB2312" w:cs="仿宋_GB2312" w:eastAsia="仿宋_GB2312"/>
                      <w:sz w:val="21"/>
                    </w:rPr>
                    <w:t>为了确保医院医疗工作正常运转，本项目要求投标人在医院的维修工作人员不少于</w:t>
                  </w:r>
                  <w:r>
                    <w:rPr>
                      <w:rFonts w:ascii="仿宋_GB2312" w:hAnsi="仿宋_GB2312" w:cs="仿宋_GB2312" w:eastAsia="仿宋_GB2312"/>
                      <w:sz w:val="21"/>
                    </w:rPr>
                    <w:t>4</w:t>
                  </w:r>
                  <w:r>
                    <w:rPr>
                      <w:rFonts w:ascii="仿宋_GB2312" w:hAnsi="仿宋_GB2312" w:cs="仿宋_GB2312" w:eastAsia="仿宋_GB2312"/>
                      <w:sz w:val="21"/>
                    </w:rPr>
                    <w:t>人（不含管理人员，</w:t>
                  </w:r>
                  <w:r>
                    <w:rPr>
                      <w:rFonts w:ascii="仿宋_GB2312" w:hAnsi="仿宋_GB2312" w:cs="仿宋_GB2312" w:eastAsia="仿宋_GB2312"/>
                      <w:sz w:val="21"/>
                    </w:rPr>
                    <w:t>4</w:t>
                  </w:r>
                  <w:r>
                    <w:rPr>
                      <w:rFonts w:ascii="仿宋_GB2312" w:hAnsi="仿宋_GB2312" w:cs="仿宋_GB2312" w:eastAsia="仿宋_GB2312"/>
                      <w:sz w:val="21"/>
                    </w:rPr>
                    <w:t>人中需含电焊工一名）。</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服务须配备相关管理人员，包括现场管理人员、专业技术及操作人员，项目经理应取得建筑工程贰级及以上建造师注册证书，掌握基本的建筑法律法规。专业技术、操作人员有资格证书的需要提供证书。投标文件中确定的项目负责人（项目经理）具有建安B类证书，证书须齐全且在有效期内。 为了确保医院医疗工作正常运转，本项目要求投标人在医院的维修工作人员不少于4人（不含管理人员，4人中需含电焊工一名）</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供应商须按照采购人要求，本项目除零星用工外，供应商须提供实施相关服务的工具及材料</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详见竞争性磋商文件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自合同签订后至本合同金额45万元用完为止，最长期限为一年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1、验收：乙方完成服务内容后，向甲方提出验收申请，甲方接到乙方验收申请后组织验收（必要时可聘请相应专家或委托相应部门验收），验收合格后，出具使用验收合格证明。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2、最终验收：最终验收结果作为付款依据，乙方填写验收单，并向甲方提交实施过程中的所有资料，以便甲方日后管理和维护。 3、验收依据： 3-1、合同文本、合同附件、竞争性磋商文件、成交供应商的响应文件。 3-2、国内相应的标准、规范。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每满三个月根据实际产生的维修量及审定情况支付该时间段的维修费用。 （1）按季度付款，每季度做维保满意度调查，调查结果平均分达到90分以上同时检查结果都合格付季度工程款。 （2）年终或合同结束维保质量考核平均分达到90分以上，且未发生任何安全责任事故，甲方向乙方付清未结款项。 （3）甲方付款前，乙方需按照甲方要求提供发票，否则甲方有权拒付费用且不承担任何责任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每满三个月根据实际产生的维修量及审定情况支付该时间段的维修费用。 （1）按季度付款，每季度做维保满意度调查，调查结果平均分达到90分以上同时检查结果都合格付季度工程款。 （2）年终或合同结束维保质量考核平均分达到90分以上，且未发生任何安全责任事故，甲方向乙方付清未结款项。 （3）甲方付款前，乙方需按照甲方要求提供发票，否则甲方有权拒付费用且不承担任何责任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每满三个月根据实际产生的维修量及审定情况支付该时间段的维修费用。 （1）按季度付款，每季度做维保满意度调查，调查结果平均分达到90分以上同时检查结果都合格付季度工程款。 （2）年终或合同结束维保质量考核平均分达到90分以上，且未发生任何安全责任事故，甲方向乙方付清未结款项。 （3）甲方付款前，乙方需按照甲方要求提供发票，否则甲方有权拒付费用且不承担任何责任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每满三个月根据实际产生的维修量及审定情况支付该时间段的维修费用。 （1）按季度付款，每季度做维保满意度调查，调查结果平均分达到90分以上同时检查结果都合格付季度工程款。 （2）年终或合同结束维保质量考核平均分达到90分以上，且未发生任何安全责任事故，甲方向乙方付清未结款项。 （3）甲方付款前，乙方需按照甲方要求提供发票，否则甲方有权拒付费用且不承担任何责任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1、按《中华人民共和国民法典》中的相关条款执行。 2、乙方履约延误 2-1、如乙方事先未征得甲方同意并得到甲方的谅解而单方面延迟执行合同，将按违约终止合同。 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 3、违约终止合同：未按合同要求提供服务或不能满足技术要求，甲方有权终止合同，对乙方违约行为进行追究，同时按政府采购法的有关规定进行相应的处罚。 解决争议的方法 凡因本合同引起的或与本合同有关的争议，双方应友好协商解决。协商不成时，双方均同意采用以下第（ ）种争议解决方式： （1）、甲、乙双方均同意向（甲方所在地人民法院）提起诉讼。 （2）、甲、乙双方均同意向（仲裁委员会）提起仲裁。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详见竞争性磋商文件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中小企业声明函 残疾人福利性单位声明函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中华人民共和国法律、行政法规规定的其他条件</w:t>
            </w:r>
          </w:p>
        </w:tc>
        <w:tc>
          <w:tcPr>
            <w:tcW w:type="dxa" w:w="3322"/>
          </w:tcPr>
          <w:p>
            <w:pPr>
              <w:pStyle w:val="null3"/>
            </w:pPr>
            <w:r>
              <w:rPr>
                <w:rFonts w:ascii="仿宋_GB2312" w:hAnsi="仿宋_GB2312" w:cs="仿宋_GB2312" w:eastAsia="仿宋_GB2312"/>
              </w:rPr>
              <w:t>1）供应商须具备建设行政主管部门颁发的建筑工程施工总承包三级及以上资质，具备合格有效的安全生产许可证； 2）供应商拟派项目经理须具备建筑工程专业二级及以上注册建造师资格，具备有效的安全生产考核合格证书； 3）供应商在陕西省建筑市场监管和诚信信息发布平台及全国建筑市场监管公共服务平台未被列为限制其参与投标的行为人； 4）省外进陕企业相关信息在陕西省住房和城乡建设厅网（http://js.shaanxi.gov.cn/）可查询； 5）本项目专门面向中小企业采购，供应商应提供中小企业声明函。</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报价清单格式.docx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1.服务方案：针对本项目服务对象、项目特点进行分析，根据对本项目的分析情况制定服务方案，按其响应程度计0～5分。 2.供应商根据本项目具体服务内容作出详细质量保证与质量控制措施，措施方案，按其响应程度计0～5分； 3.提供保障服务人员安全作业的有效防范措施及发生人员伤亡等意外事故时的处理措施，按其响应程度计0～5分； 4.确保在服务期间发生故障或事故时能够及时、有效的解决问题的应急能力，按其响应程度计0～5分； 5、提供详尽、可行的实质性服务承诺，工作响应及时，能高效、优质的完成响应工作，按其响应程度计0～5分； 6、根据本项目使用特点制定切实可行的各类应急预案，按其响应程度计0～5分； 7、供应商具有针对本项目的良好的内控制度和健全的人员管理制度，按其响应程度计0～5分； 8、具有岗位工作标准、服务质量标准、作业流程等方面，按其响应程度计0～5分； 9、具有员工日常管理办法、请销假制度、奖惩措施等制度，按其响应程度计0～5分； 10、根据本项目情况提供合理化建议，按其响应程度计分得0～5。</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1、根据本项目成立项目服务部，具备专门的技术人员，项目部人员4人（不包含项目经理）得5分，其中至少包含一名电焊工，且需持有效证件，不满足不得分；本项每增加1人，增加1分，本项最多得8分。 2、提供拟派项目经理的学历、从业经验等证明材料，根据响应程度计0～2分； 注：以上人员需提供人员近半年内三个月的社保或劳动合同。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近三年（2022年1月1日至今）承接过类似服务的，每项得2分，最高得6分； 注：本项总分为6分，业绩须提供合同复印件(需加盖公章)，否则不得分。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服务承诺及保证措施</w:t>
            </w:r>
          </w:p>
        </w:tc>
        <w:tc>
          <w:tcPr>
            <w:tcW w:type="dxa" w:w="2492"/>
          </w:tcPr>
          <w:p>
            <w:pPr>
              <w:pStyle w:val="null3"/>
            </w:pPr>
            <w:r>
              <w:rPr>
                <w:rFonts w:ascii="仿宋_GB2312" w:hAnsi="仿宋_GB2312" w:cs="仿宋_GB2312" w:eastAsia="仿宋_GB2312"/>
              </w:rPr>
              <w:t>供应商应对本项目提供的维修服务做出承诺，评审根据承诺内容，得1-2分。 质保期内，供应商应对所出现的问题免费维修。供应商应在收到采购人有关工程质量维修通知后15分钟内到达现场，如需简单维修应在30分钟内完成；如维修事项复杂，应及时做好解释工作，并于24小时内解决问题。根据售后服务方案及响应情况得1-2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方案说明.docx</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1.最低有效报价为基准价，得30分。 2.按（最低有效报价/有效报价×30）的公式计算价格得分。 3、本项目报价为所有清单报价总和。</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报价清单格式.docx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详见附件：方案说明.docx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详见附件：报价清单格式.docx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详见附件：西安市精神卫生中心零星维修服务合同.docx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lowerLetter"/>
      <w:lvlText w:val="%1."/>
      <w:lvlJc w:val="left"/>
      <w:pPr>
        <w:ind w:left="0"/>
      </w:p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