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版本号：SXDZ2025-ZC-CS01120250605001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生态环境保护综合执法无人机辅助执法项目（多旋翼无人机）</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SXDZ2025-ZC-CS011</w:t>
      </w:r>
      <w:r>
        <w:br/>
      </w:r>
      <w:r>
        <w:br/>
      </w:r>
      <w:r>
        <w:br/>
      </w:r>
    </w:p>
    <w:p>
      <w:pPr>
        <w:pStyle w:val="null3"/>
        <w:jc w:val="center"/>
        <w:outlineLvl w:val="2"/>
      </w:pPr>
      <w:r>
        <w:rPr>
          <w:rFonts w:ascii="仿宋_GB2312" w:hAnsi="仿宋_GB2312" w:cs="仿宋_GB2312" w:eastAsia="仿宋_GB2312"/>
          <w:sz w:val="28"/>
          <w:b/>
        </w:rPr>
        <w:t>西安市生态环境保护综合执法支队</w:t>
      </w:r>
    </w:p>
    <w:p>
      <w:pPr>
        <w:pStyle w:val="null3"/>
        <w:jc w:val="center"/>
        <w:outlineLvl w:val="2"/>
      </w:pPr>
      <w:r>
        <w:rPr>
          <w:rFonts w:ascii="仿宋_GB2312" w:hAnsi="仿宋_GB2312" w:cs="仿宋_GB2312" w:eastAsia="仿宋_GB2312"/>
          <w:sz w:val="28"/>
          <w:b/>
        </w:rPr>
        <w:t>陕西东卓项目管理有限公司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陕西东卓项目管理有限公司</w:t>
      </w:r>
      <w:r>
        <w:rPr>
          <w:rFonts w:ascii="仿宋_GB2312" w:hAnsi="仿宋_GB2312" w:cs="仿宋_GB2312" w:eastAsia="仿宋_GB2312"/>
        </w:rPr>
        <w:t>（以下简称“代理机构”）受</w:t>
      </w:r>
      <w:r>
        <w:rPr>
          <w:rFonts w:ascii="仿宋_GB2312" w:hAnsi="仿宋_GB2312" w:cs="仿宋_GB2312" w:eastAsia="仿宋_GB2312"/>
        </w:rPr>
        <w:t>西安市生态环境保护综合执法支队</w:t>
      </w:r>
      <w:r>
        <w:rPr>
          <w:rFonts w:ascii="仿宋_GB2312" w:hAnsi="仿宋_GB2312" w:cs="仿宋_GB2312" w:eastAsia="仿宋_GB2312"/>
        </w:rPr>
        <w:t>委托，拟对</w:t>
      </w:r>
      <w:r>
        <w:rPr>
          <w:rFonts w:ascii="仿宋_GB2312" w:hAnsi="仿宋_GB2312" w:cs="仿宋_GB2312" w:eastAsia="仿宋_GB2312"/>
        </w:rPr>
        <w:t>生态环境保护综合执法无人机辅助执法项目（多旋翼无人机）</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SXDZ2025-ZC-CS011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生态环境保护综合执法无人机辅助执法项目（多旋翼无人机）</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拓展非现场端监管的手段及应用，使用无人机对我市辖区内重点区域进行辅助执法。通过采购第三方多旋翼无人机航拍巡查服务的形式，在辖区范围内对西安市饮用水源地保护区、重点区域、重点网格污染源、重点河流及敏感水域固体废物倾倒、工业园区、重点企业等污染源利用无人机开展高空飞行辅助巡查服务，对疑似污染区域进行航拍、采集相关数据信息,上传至无人机过程监控系统，对飞行数据进行分析，形成飞行任务报告，为西安市生态环境保护综合执法支队提供执法辅助依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采购包1（生态环境保护综合执法无人机辅助执法项目（多旋翼无人机）生态环境保护综合执法无人机辅助执法项目（多旋翼无人机））：属于专门面向中小企业采购。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财务状况报告：提供2023年度或2024年度经审计的财务报告（成立时间至响应文件递交截止时间不足一年的可提供成立后任意时段的资产负债表），或提供响应文件递交截止日前三个月内其基本存款账户开户银行出具的资信证明。</w:t>
      </w:r>
    </w:p>
    <w:p>
      <w:pPr>
        <w:pStyle w:val="null3"/>
      </w:pPr>
      <w:r>
        <w:rPr>
          <w:rFonts w:ascii="仿宋_GB2312" w:hAnsi="仿宋_GB2312" w:cs="仿宋_GB2312" w:eastAsia="仿宋_GB2312"/>
        </w:rPr>
        <w:t>3、履行合同技术能力的承诺：提供具有履行合同所必需的设备和专业技术能力的承诺。</w:t>
      </w:r>
    </w:p>
    <w:p>
      <w:pPr>
        <w:pStyle w:val="null3"/>
      </w:pPr>
      <w:r>
        <w:rPr>
          <w:rFonts w:ascii="仿宋_GB2312" w:hAnsi="仿宋_GB2312" w:cs="仿宋_GB2312" w:eastAsia="仿宋_GB2312"/>
        </w:rPr>
        <w:t>4、税收缴纳证明：提供磋商截止日前一年内已缴纳的至少一个月的纳税证明或完税证明，依法免税的单位应提供相关证明材料。</w:t>
      </w:r>
    </w:p>
    <w:p>
      <w:pPr>
        <w:pStyle w:val="null3"/>
      </w:pPr>
      <w:r>
        <w:rPr>
          <w:rFonts w:ascii="仿宋_GB2312" w:hAnsi="仿宋_GB2312" w:cs="仿宋_GB2312" w:eastAsia="仿宋_GB2312"/>
        </w:rPr>
        <w:t>5、社会保障资金缴纳证明：提供磋商截止日前一年内已缴存的至少一个月的社会保障资金缴存单据或社保机构开具的社会保险参保缴费情况证明，依法不需要缴纳社会保障资金的单位应提供相关证明材料。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6、无重大违法记录声明：参加政府采购活动前3年内，在经营活动中没有重大违法记录的书面声明。</w:t>
      </w:r>
    </w:p>
    <w:p>
      <w:pPr>
        <w:pStyle w:val="null3"/>
      </w:pPr>
      <w:r>
        <w:rPr>
          <w:rFonts w:ascii="仿宋_GB2312" w:hAnsi="仿宋_GB2312" w:cs="仿宋_GB2312" w:eastAsia="仿宋_GB2312"/>
        </w:rPr>
        <w:t>7、法人身份证明或授权书：法定代表人参加的，须提供法定代表人身份证明及本人身份证复印件；法定代表人授权他人参加的，须提供法定代表人委托授权书、被授权代表的身份证复印件。</w:t>
      </w:r>
    </w:p>
    <w:p>
      <w:pPr>
        <w:pStyle w:val="null3"/>
      </w:pPr>
      <w:r>
        <w:rPr>
          <w:rFonts w:ascii="仿宋_GB2312" w:hAnsi="仿宋_GB2312" w:cs="仿宋_GB2312" w:eastAsia="仿宋_GB2312"/>
        </w:rPr>
        <w:t>8、信用记录审查：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需提供信用中国网及中国政府采购网相应查询结果网页截图加盖供应商公章）。</w:t>
      </w:r>
    </w:p>
    <w:p>
      <w:pPr>
        <w:pStyle w:val="null3"/>
      </w:pPr>
      <w:r>
        <w:rPr>
          <w:rFonts w:ascii="仿宋_GB2312" w:hAnsi="仿宋_GB2312" w:cs="仿宋_GB2312" w:eastAsia="仿宋_GB2312"/>
        </w:rPr>
        <w:t>9、本项目不接受联合体投标：本项目不接受联合体投标；（提供书面承诺，加盖供应商公章）。</w:t>
      </w:r>
    </w:p>
    <w:p>
      <w:pPr>
        <w:pStyle w:val="null3"/>
      </w:pPr>
      <w:r>
        <w:rPr>
          <w:rFonts w:ascii="仿宋_GB2312" w:hAnsi="仿宋_GB2312" w:cs="仿宋_GB2312" w:eastAsia="仿宋_GB2312"/>
        </w:rPr>
        <w:t>10、控股、管理关系：单位负责人为同一人或者存在直接控股、管理关系的不同供应商，不得同时参加本采购项目投标；（提供书面承诺，加盖供应商公章）。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西安市生态环境保护综合执法支队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西安市碑林区大学东路4号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029-81581936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陕西东卓项目管理有限公司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陕西省西安市莲湖区御笔城市广场3号楼408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冯佩丽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029-86637322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采购包1：1,373,700.00元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 xml:space="preserve"> / </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 xml:space="preserve"> / </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 xml:space="preserve"> / </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国家发展和改革委员会办公厅颁发的《关于招标代理服务收费有关问题的通知》（发改办价格[2003]857号）的有关规定执行。 接收代理服务费账户名称：陕西东卓项目管理有限公司 开户银行：中国银行股份有限公司西安市经济技术开发区支行 账 号：102494375315 转账事由：（项目名称）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西安市生态环境保护综合执法支队</w:t>
      </w:r>
      <w:r>
        <w:rPr>
          <w:rFonts w:ascii="仿宋_GB2312" w:hAnsi="仿宋_GB2312" w:cs="仿宋_GB2312" w:eastAsia="仿宋_GB2312"/>
        </w:rPr>
        <w:t>和</w:t>
      </w:r>
      <w:r>
        <w:rPr>
          <w:rFonts w:ascii="仿宋_GB2312" w:hAnsi="仿宋_GB2312" w:cs="仿宋_GB2312" w:eastAsia="仿宋_GB2312"/>
        </w:rPr>
        <w:t>陕西东卓项目管理有限公司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西安市生态环境保护综合执法支队</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陕西东卓项目管理有限公司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西安市生态环境保护综合执法支队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陕西东卓项目管理有限公司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联系人：冯佩丽</w:t>
      </w:r>
    </w:p>
    <w:p>
      <w:pPr>
        <w:pStyle w:val="null3"/>
      </w:pPr>
      <w:r>
        <w:rPr>
          <w:rFonts w:ascii="仿宋_GB2312" w:hAnsi="仿宋_GB2312" w:cs="仿宋_GB2312" w:eastAsia="仿宋_GB2312"/>
        </w:rPr>
        <w:t>联系电话：029-86637322</w:t>
      </w:r>
    </w:p>
    <w:p>
      <w:pPr>
        <w:pStyle w:val="null3"/>
      </w:pPr>
      <w:r>
        <w:rPr>
          <w:rFonts w:ascii="仿宋_GB2312" w:hAnsi="仿宋_GB2312" w:cs="仿宋_GB2312" w:eastAsia="仿宋_GB2312"/>
        </w:rPr>
        <w:t>地址：西安市莲湖区御笔城市广场3号楼2号电梯408室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拓展非现场端监管的手段及应用，使用无人机对我市辖区内重点区域进行辅助执法。通过采购第三方多旋翼无人机航拍巡查服务的形式，在辖区范围内对西安市饮用水源地保护区、重点区域、重点网格污染源、重点河流及敏感水域固体废物倾倒、工业园区、重点企业等污染源利用无人机开展高空飞行辅助巡查服务，对疑似污染区域进行航拍、采集相关数据信息,上传至无人机过程监控系统，对飞行数据进行分析，形成飞行任务报告，为西安市生态环境保护综合执法支队提供执法辅助依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1,373,700.00</w:t>
      </w:r>
    </w:p>
    <w:p>
      <w:pPr>
        <w:pStyle w:val="null3"/>
      </w:pPr>
      <w:r>
        <w:rPr>
          <w:rFonts w:ascii="仿宋_GB2312" w:hAnsi="仿宋_GB2312" w:cs="仿宋_GB2312" w:eastAsia="仿宋_GB2312"/>
        </w:rPr>
        <w:t>采购包最高限价（元）: 1,373,700.00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1,373,700.00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5"/>
              <w:tblBorders>
                <w:top w:val="none" w:color="000000" w:sz="4"/>
                <w:left w:val="none" w:color="000000" w:sz="4"/>
                <w:bottom w:val="none" w:color="000000" w:sz="4"/>
                <w:right w:val="none" w:color="000000" w:sz="4"/>
                <w:insideH w:val="none"/>
                <w:insideV w:val="none"/>
              </w:tblBorders>
            </w:tblPr>
            <w:tblGrid>
              <w:gridCol w:w="-34"/>
              <w:gridCol w:w="-34"/>
              <w:gridCol w:w="2620"/>
            </w:tblGrid>
            <w:tr>
              <w:tc>
                <w:tcPr>
                  <w:tcW w:type="dxa" w:w="-34"/>
                  <w:tcBorders>
                    <w:top w:val="single" w:color="333333"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b/>
                    </w:rPr>
                    <w:t>参数性质</w:t>
                  </w:r>
                </w:p>
              </w:tc>
              <w:tc>
                <w:tcPr>
                  <w:tcW w:type="dxa" w:w="-34"/>
                  <w:tcBorders>
                    <w:top w:val="single" w:color="333333"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b/>
                    </w:rPr>
                    <w:t>序号</w:t>
                  </w:r>
                </w:p>
              </w:tc>
              <w:tc>
                <w:tcPr>
                  <w:tcW w:type="dxa" w:w="2620"/>
                  <w:tcBorders>
                    <w:top w:val="single" w:color="333333"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b/>
                    </w:rPr>
                    <w:t>技术参数与性能指标</w:t>
                  </w:r>
                </w:p>
              </w:tc>
            </w:tr>
            <w:tr>
              <w:tc>
                <w:tcPr>
                  <w:tcW w:type="dxa" w:w="-34"/>
                  <w:tcBorders>
                    <w:top w:val="none" w:color="000000" w:sz="4"/>
                    <w:left w:val="single" w:color="333333" w:sz="4"/>
                    <w:bottom w:val="single" w:color="333333" w:sz="4"/>
                    <w:right w:val="single" w:color="333333"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b/>
                    </w:rPr>
                    <w:t>/</w:t>
                  </w:r>
                </w:p>
              </w:tc>
              <w:tc>
                <w:tcPr>
                  <w:tcW w:type="dxa" w:w="-34"/>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jc w:val="center"/>
                  </w:pPr>
                  <w:r>
                    <w:rPr>
                      <w:rFonts w:ascii="仿宋_GB2312" w:hAnsi="仿宋_GB2312" w:cs="仿宋_GB2312" w:eastAsia="仿宋_GB2312"/>
                      <w:sz w:val="24"/>
                      <w:b/>
                    </w:rPr>
                    <w:t>1</w:t>
                  </w:r>
                </w:p>
              </w:tc>
              <w:tc>
                <w:tcPr>
                  <w:tcW w:type="dxa" w:w="2620"/>
                  <w:tcBorders>
                    <w:top w:val="none" w:color="000000" w:sz="4"/>
                    <w:left w:val="none" w:color="000000" w:sz="4"/>
                    <w:bottom w:val="single" w:color="333333" w:sz="4"/>
                    <w:right w:val="single" w:color="333333" w:sz="4"/>
                  </w:tcBorders>
                  <w:tcMar>
                    <w:top w:type="dxa" w:w="60"/>
                    <w:left w:type="dxa" w:w="90"/>
                    <w:bottom w:type="dxa" w:w="60"/>
                    <w:right w:type="dxa" w:w="90"/>
                  </w:tcMar>
                  <w:vAlign w:val="top"/>
                </w:tcPr>
                <w:p>
                  <w:pPr>
                    <w:pStyle w:val="null3"/>
                    <w:spacing w:before="150"/>
                    <w:jc w:val="left"/>
                  </w:pPr>
                  <w:r>
                    <w:rPr>
                      <w:rFonts w:ascii="仿宋_GB2312" w:hAnsi="仿宋_GB2312" w:cs="仿宋_GB2312" w:eastAsia="仿宋_GB2312"/>
                      <w:sz w:val="21"/>
                      <w:b/>
                      <w:color w:val="000000"/>
                    </w:rPr>
                    <w:t>一、项目概况</w:t>
                  </w:r>
                </w:p>
                <w:p>
                  <w:pPr>
                    <w:pStyle w:val="null3"/>
                    <w:ind w:firstLine="420"/>
                  </w:pPr>
                  <w:r>
                    <w:rPr>
                      <w:rFonts w:ascii="仿宋_GB2312" w:hAnsi="仿宋_GB2312" w:cs="仿宋_GB2312" w:eastAsia="仿宋_GB2312"/>
                      <w:sz w:val="21"/>
                    </w:rPr>
                    <w:t>为进一步拓展非现场端监管的手段及应用，</w:t>
                  </w:r>
                  <w:r>
                    <w:rPr>
                      <w:rFonts w:ascii="仿宋_GB2312" w:hAnsi="仿宋_GB2312" w:cs="仿宋_GB2312" w:eastAsia="仿宋_GB2312"/>
                      <w:sz w:val="21"/>
                    </w:rPr>
                    <w:t>使用无人机对</w:t>
                  </w:r>
                  <w:r>
                    <w:rPr>
                      <w:rFonts w:ascii="仿宋_GB2312" w:hAnsi="仿宋_GB2312" w:cs="仿宋_GB2312" w:eastAsia="仿宋_GB2312"/>
                      <w:sz w:val="21"/>
                    </w:rPr>
                    <w:t>我市</w:t>
                  </w:r>
                  <w:r>
                    <w:rPr>
                      <w:rFonts w:ascii="仿宋_GB2312" w:hAnsi="仿宋_GB2312" w:cs="仿宋_GB2312" w:eastAsia="仿宋_GB2312"/>
                      <w:sz w:val="21"/>
                    </w:rPr>
                    <w:t>辖区内重点区域进行辅助执法。通过采购第三方多旋翼无人机航拍巡查服务的形式，在辖区范围内</w:t>
                  </w:r>
                  <w:r>
                    <w:rPr>
                      <w:rFonts w:ascii="仿宋_GB2312" w:hAnsi="仿宋_GB2312" w:cs="仿宋_GB2312" w:eastAsia="仿宋_GB2312"/>
                      <w:sz w:val="21"/>
                    </w:rPr>
                    <w:t>对</w:t>
                  </w:r>
                  <w:r>
                    <w:rPr>
                      <w:rFonts w:ascii="仿宋_GB2312" w:hAnsi="仿宋_GB2312" w:cs="仿宋_GB2312" w:eastAsia="仿宋_GB2312"/>
                      <w:sz w:val="21"/>
                    </w:rPr>
                    <w:t>西安市饮用水源地保护区、重点区域、重点网格污染源、重点河流及敏感水域固体废物倾倒、工业园区、重点企业等污染源利用无人机开展高空飞行辅助巡查服务，对疑似污染区域进行航拍、采集相关数据信息</w:t>
                  </w:r>
                  <w:r>
                    <w:rPr>
                      <w:rFonts w:ascii="仿宋_GB2312" w:hAnsi="仿宋_GB2312" w:cs="仿宋_GB2312" w:eastAsia="仿宋_GB2312"/>
                      <w:sz w:val="21"/>
                    </w:rPr>
                    <w:t>,</w:t>
                  </w:r>
                  <w:r>
                    <w:rPr>
                      <w:rFonts w:ascii="仿宋_GB2312" w:hAnsi="仿宋_GB2312" w:cs="仿宋_GB2312" w:eastAsia="仿宋_GB2312"/>
                      <w:sz w:val="21"/>
                    </w:rPr>
                    <w:t>上传至无人机过程监控系统，对飞行数据进行分析，形成飞行任务报告</w:t>
                  </w:r>
                  <w:r>
                    <w:rPr>
                      <w:rFonts w:ascii="仿宋_GB2312" w:hAnsi="仿宋_GB2312" w:cs="仿宋_GB2312" w:eastAsia="仿宋_GB2312"/>
                      <w:sz w:val="21"/>
                    </w:rPr>
                    <w:t>，</w:t>
                  </w:r>
                  <w:r>
                    <w:rPr>
                      <w:rFonts w:ascii="仿宋_GB2312" w:hAnsi="仿宋_GB2312" w:cs="仿宋_GB2312" w:eastAsia="仿宋_GB2312"/>
                      <w:sz w:val="21"/>
                    </w:rPr>
                    <w:t>为西安市生态环境保护综合执法支队提供执法辅助依据。</w:t>
                  </w:r>
                </w:p>
                <w:p>
                  <w:pPr>
                    <w:pStyle w:val="null3"/>
                    <w:spacing w:before="180"/>
                    <w:jc w:val="left"/>
                  </w:pPr>
                  <w:r>
                    <w:rPr>
                      <w:rFonts w:ascii="仿宋_GB2312" w:hAnsi="仿宋_GB2312" w:cs="仿宋_GB2312" w:eastAsia="仿宋_GB2312"/>
                      <w:sz w:val="21"/>
                      <w:b/>
                      <w:color w:val="000000"/>
                    </w:rPr>
                    <w:t>二、服务内容</w:t>
                  </w:r>
                </w:p>
                <w:p>
                  <w:pPr>
                    <w:pStyle w:val="null3"/>
                    <w:ind w:firstLine="420"/>
                  </w:pPr>
                  <w:r>
                    <w:rPr>
                      <w:rFonts w:ascii="仿宋_GB2312" w:hAnsi="仿宋_GB2312" w:cs="仿宋_GB2312" w:eastAsia="仿宋_GB2312"/>
                      <w:sz w:val="21"/>
                    </w:rPr>
                    <w:t>第三方无人机公司提供自有多旋翼无人机、多功能运输车、无人机正射影像处理工作站等专业设备，提供自有执行飞行任务相关专业资格证书的飞行团队，提供保障飞行的空域申请，服务期间按照调度安排和飞行流程进行辅助执法巡查，具体服务内容如下：</w:t>
                  </w:r>
                </w:p>
                <w:p>
                  <w:pPr>
                    <w:pStyle w:val="null3"/>
                    <w:ind w:firstLine="420"/>
                  </w:pPr>
                  <w:r>
                    <w:rPr>
                      <w:rFonts w:ascii="仿宋_GB2312" w:hAnsi="仿宋_GB2312" w:cs="仿宋_GB2312" w:eastAsia="仿宋_GB2312"/>
                      <w:sz w:val="21"/>
                    </w:rPr>
                    <w:t>1</w:t>
                  </w:r>
                  <w:r>
                    <w:rPr>
                      <w:rFonts w:ascii="仿宋_GB2312" w:hAnsi="仿宋_GB2312" w:cs="仿宋_GB2312" w:eastAsia="仿宋_GB2312"/>
                      <w:sz w:val="21"/>
                    </w:rPr>
                    <w:t>、饮用水源地保护区航拍服务，通过无人机航拍飞行，巡查破坏生态及水源地污染等问题，发现问题及时上报处理。在不同时期对同一问题点进行多方位拍摄，进行差异比对，反馈问题处理情况。</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、重点区域进行航拍巡查服务，使用无人机对重点区域进行航拍巡查，提供工业园区污染源排查、重点污染源排查或重点网格航拍飞行巡查服务。</w:t>
                  </w:r>
                </w:p>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重点河流及敏感水域、重点工业园固废倾倒航拍巡查服务，使用无人机对重点河流及敏感水域固体废物倾倒、重点工业园垃圾倾倒问题进行航拍飞行巡查，每次飞行任务结束后，将飞行过程中发现的建筑垃圾和工业垃圾等废物倾倒点地址、污染类型等信息，输出巡查报告，呈现在陕西生态环境执法无人机过程监控系统上，为执法支队提供执法依据。</w:t>
                  </w:r>
                </w:p>
                <w:p>
                  <w:pPr>
                    <w:pStyle w:val="null3"/>
                    <w:ind w:firstLine="420"/>
                  </w:pPr>
                  <w:r>
                    <w:rPr>
                      <w:rFonts w:ascii="仿宋_GB2312" w:hAnsi="仿宋_GB2312" w:cs="仿宋_GB2312" w:eastAsia="仿宋_GB2312"/>
                      <w:sz w:val="21"/>
                    </w:rPr>
                    <w:t>4</w:t>
                  </w:r>
                  <w:r>
                    <w:rPr>
                      <w:rFonts w:ascii="仿宋_GB2312" w:hAnsi="仿宋_GB2312" w:cs="仿宋_GB2312" w:eastAsia="仿宋_GB2312"/>
                      <w:sz w:val="21"/>
                    </w:rPr>
                    <w:t>、重点企业巡查服务，使用无人机挂载相关专业设备对对涉气、涉水重点企业进行巡查，发现问题线索，形成巡查报告。</w:t>
                  </w:r>
                </w:p>
                <w:p>
                  <w:pPr>
                    <w:pStyle w:val="null3"/>
                    <w:ind w:firstLine="420"/>
                  </w:pPr>
                  <w:r>
                    <w:rPr>
                      <w:rFonts w:ascii="仿宋_GB2312" w:hAnsi="仿宋_GB2312" w:cs="仿宋_GB2312" w:eastAsia="仿宋_GB2312"/>
                      <w:sz w:val="21"/>
                    </w:rPr>
                    <w:t>5</w:t>
                  </w:r>
                  <w:r>
                    <w:rPr>
                      <w:rFonts w:ascii="仿宋_GB2312" w:hAnsi="仿宋_GB2312" w:cs="仿宋_GB2312" w:eastAsia="仿宋_GB2312"/>
                      <w:sz w:val="21"/>
                    </w:rPr>
                    <w:t>、其他业务巡查服务，根据日常工作需要随时安排飞行。</w:t>
                  </w:r>
                </w:p>
                <w:p>
                  <w:pPr>
                    <w:pStyle w:val="null3"/>
                    <w:ind w:firstLine="420"/>
                  </w:pPr>
                  <w:r>
                    <w:rPr>
                      <w:rFonts w:ascii="仿宋_GB2312" w:hAnsi="仿宋_GB2312" w:cs="仿宋_GB2312" w:eastAsia="仿宋_GB2312"/>
                      <w:sz w:val="21"/>
                    </w:rPr>
                    <w:t>合同期内根据实际工作需求安排飞行巡查任务，总计飞行</w:t>
                  </w:r>
                  <w:r>
                    <w:rPr>
                      <w:rFonts w:ascii="仿宋_GB2312" w:hAnsi="仿宋_GB2312" w:cs="仿宋_GB2312" w:eastAsia="仿宋_GB2312"/>
                      <w:sz w:val="21"/>
                    </w:rPr>
                    <w:t>275</w:t>
                  </w:r>
                  <w:r>
                    <w:rPr>
                      <w:rFonts w:ascii="仿宋_GB2312" w:hAnsi="仿宋_GB2312" w:cs="仿宋_GB2312" w:eastAsia="仿宋_GB2312"/>
                      <w:sz w:val="21"/>
                    </w:rPr>
                    <w:t>次，单次航拍巡查面积</w:t>
                  </w:r>
                  <w:r>
                    <w:rPr>
                      <w:rFonts w:ascii="仿宋_GB2312" w:hAnsi="仿宋_GB2312" w:cs="仿宋_GB2312" w:eastAsia="仿宋_GB2312"/>
                      <w:sz w:val="21"/>
                    </w:rPr>
                    <w:t>1km</w:t>
                  </w:r>
                  <w:r>
                    <w:rPr>
                      <w:rFonts w:ascii="仿宋_GB2312" w:hAnsi="仿宋_GB2312" w:cs="仿宋_GB2312" w:eastAsia="仿宋_GB2312"/>
                      <w:sz w:val="21"/>
                    </w:rPr>
                    <w:t>²， 飞行巡查面积</w:t>
                  </w:r>
                  <w:r>
                    <w:rPr>
                      <w:rFonts w:ascii="仿宋_GB2312" w:hAnsi="仿宋_GB2312" w:cs="仿宋_GB2312" w:eastAsia="仿宋_GB2312"/>
                      <w:sz w:val="21"/>
                    </w:rPr>
                    <w:t>275km</w:t>
                  </w:r>
                  <w:r>
                    <w:rPr>
                      <w:rFonts w:ascii="仿宋_GB2312" w:hAnsi="仿宋_GB2312" w:cs="仿宋_GB2312" w:eastAsia="仿宋_GB2312"/>
                      <w:sz w:val="21"/>
                    </w:rPr>
                    <w:t>²。</w:t>
                  </w:r>
                </w:p>
                <w:p>
                  <w:pPr>
                    <w:pStyle w:val="null3"/>
                    <w:spacing w:before="210"/>
                    <w:jc w:val="left"/>
                  </w:pPr>
                  <w:r>
                    <w:rPr>
                      <w:rFonts w:ascii="仿宋_GB2312" w:hAnsi="仿宋_GB2312" w:cs="仿宋_GB2312" w:eastAsia="仿宋_GB2312"/>
                      <w:sz w:val="21"/>
                      <w:b/>
                      <w:color w:val="000000"/>
                    </w:rPr>
                    <w:t>三、</w:t>
                  </w:r>
                  <w:r>
                    <w:rPr>
                      <w:rFonts w:ascii="仿宋_GB2312" w:hAnsi="仿宋_GB2312" w:cs="仿宋_GB2312" w:eastAsia="仿宋_GB2312"/>
                      <w:sz w:val="21"/>
                      <w:b/>
                      <w:color w:val="000000"/>
                    </w:rPr>
                    <w:t>技术</w:t>
                  </w:r>
                  <w:r>
                    <w:rPr>
                      <w:rFonts w:ascii="仿宋_GB2312" w:hAnsi="仿宋_GB2312" w:cs="仿宋_GB2312" w:eastAsia="仿宋_GB2312"/>
                      <w:sz w:val="21"/>
                      <w:b/>
                      <w:color w:val="000000"/>
                    </w:rPr>
                    <w:t>要求</w:t>
                  </w:r>
                </w:p>
                <w:p>
                  <w:pPr>
                    <w:pStyle w:val="null3"/>
                    <w:ind w:firstLine="420"/>
                  </w:pPr>
                  <w:r>
                    <w:rPr>
                      <w:rFonts w:ascii="仿宋_GB2312" w:hAnsi="仿宋_GB2312" w:cs="仿宋_GB2312" w:eastAsia="仿宋_GB2312"/>
                      <w:sz w:val="21"/>
                    </w:rPr>
                    <w:t>1</w:t>
                  </w:r>
                  <w:r>
                    <w:rPr>
                      <w:rFonts w:ascii="仿宋_GB2312" w:hAnsi="仿宋_GB2312" w:cs="仿宋_GB2312" w:eastAsia="仿宋_GB2312"/>
                      <w:sz w:val="21"/>
                    </w:rPr>
                    <w:t>、提供不少于</w:t>
                  </w:r>
                  <w:r>
                    <w:rPr>
                      <w:rFonts w:ascii="仿宋_GB2312" w:hAnsi="仿宋_GB2312" w:cs="仿宋_GB2312" w:eastAsia="仿宋_GB2312"/>
                      <w:sz w:val="21"/>
                    </w:rPr>
                    <w:t>4</w:t>
                  </w:r>
                  <w:r>
                    <w:rPr>
                      <w:rFonts w:ascii="仿宋_GB2312" w:hAnsi="仿宋_GB2312" w:cs="仿宋_GB2312" w:eastAsia="仿宋_GB2312"/>
                      <w:sz w:val="21"/>
                    </w:rPr>
                    <w:t>架多旋翼无人机，具体要求：四旋翼无人机，尺寸≥</w:t>
                  </w:r>
                  <w:r>
                    <w:rPr>
                      <w:rFonts w:ascii="仿宋_GB2312" w:hAnsi="仿宋_GB2312" w:cs="仿宋_GB2312" w:eastAsia="仿宋_GB2312"/>
                      <w:sz w:val="21"/>
                    </w:rPr>
                    <w:t>800</w:t>
                  </w:r>
                  <w:r>
                    <w:rPr>
                      <w:rFonts w:ascii="仿宋_GB2312" w:hAnsi="仿宋_GB2312" w:cs="仿宋_GB2312" w:eastAsia="仿宋_GB2312"/>
                      <w:sz w:val="21"/>
                    </w:rPr>
                    <w:t>×</w:t>
                  </w:r>
                  <w:r>
                    <w:rPr>
                      <w:rFonts w:ascii="仿宋_GB2312" w:hAnsi="仿宋_GB2312" w:cs="仿宋_GB2312" w:eastAsia="仿宋_GB2312"/>
                      <w:sz w:val="21"/>
                    </w:rPr>
                    <w:t>650</w:t>
                  </w:r>
                  <w:r>
                    <w:rPr>
                      <w:rFonts w:ascii="仿宋_GB2312" w:hAnsi="仿宋_GB2312" w:cs="仿宋_GB2312" w:eastAsia="仿宋_GB2312"/>
                      <w:sz w:val="21"/>
                    </w:rPr>
                    <w:t>×</w:t>
                  </w:r>
                  <w:r>
                    <w:rPr>
                      <w:rFonts w:ascii="仿宋_GB2312" w:hAnsi="仿宋_GB2312" w:cs="仿宋_GB2312" w:eastAsia="仿宋_GB2312"/>
                      <w:sz w:val="21"/>
                    </w:rPr>
                    <w:t>400 mm</w:t>
                  </w:r>
                  <w:r>
                    <w:rPr>
                      <w:rFonts w:ascii="仿宋_GB2312" w:hAnsi="仿宋_GB2312" w:cs="仿宋_GB2312" w:eastAsia="仿宋_GB2312"/>
                      <w:sz w:val="21"/>
                    </w:rPr>
                    <w:t>（长×宽×高），空机重量≥</w:t>
                  </w:r>
                  <w:r>
                    <w:rPr>
                      <w:rFonts w:ascii="仿宋_GB2312" w:hAnsi="仿宋_GB2312" w:cs="仿宋_GB2312" w:eastAsia="仿宋_GB2312"/>
                      <w:sz w:val="21"/>
                    </w:rPr>
                    <w:t>6Kg</w:t>
                  </w:r>
                  <w:r>
                    <w:rPr>
                      <w:rFonts w:ascii="仿宋_GB2312" w:hAnsi="仿宋_GB2312" w:cs="仿宋_GB2312" w:eastAsia="仿宋_GB2312"/>
                      <w:sz w:val="21"/>
                    </w:rPr>
                    <w:t>，最大起飞重量≥</w:t>
                  </w:r>
                  <w:r>
                    <w:rPr>
                      <w:rFonts w:ascii="仿宋_GB2312" w:hAnsi="仿宋_GB2312" w:cs="仿宋_GB2312" w:eastAsia="仿宋_GB2312"/>
                      <w:sz w:val="21"/>
                    </w:rPr>
                    <w:t>9 kg</w:t>
                  </w:r>
                  <w:r>
                    <w:rPr>
                      <w:rFonts w:ascii="仿宋_GB2312" w:hAnsi="仿宋_GB2312" w:cs="仿宋_GB2312" w:eastAsia="仿宋_GB2312"/>
                      <w:sz w:val="21"/>
                    </w:rPr>
                    <w:t>，无人机正射影像原始照片清晰度≥</w:t>
                  </w:r>
                  <w:r>
                    <w:rPr>
                      <w:rFonts w:ascii="仿宋_GB2312" w:hAnsi="仿宋_GB2312" w:cs="仿宋_GB2312" w:eastAsia="仿宋_GB2312"/>
                      <w:sz w:val="21"/>
                    </w:rPr>
                    <w:t>4500</w:t>
                  </w:r>
                  <w:r>
                    <w:rPr>
                      <w:rFonts w:ascii="仿宋_GB2312" w:hAnsi="仿宋_GB2312" w:cs="仿宋_GB2312" w:eastAsia="仿宋_GB2312"/>
                      <w:sz w:val="21"/>
                    </w:rPr>
                    <w:t xml:space="preserve">万像素，视频分辨率≥ </w:t>
                  </w:r>
                  <w:r>
                    <w:rPr>
                      <w:rFonts w:ascii="仿宋_GB2312" w:hAnsi="仿宋_GB2312" w:cs="仿宋_GB2312" w:eastAsia="仿宋_GB2312"/>
                      <w:sz w:val="21"/>
                    </w:rPr>
                    <w:t>3800x2100@30fps</w:t>
                  </w:r>
                  <w:r>
                    <w:rPr>
                      <w:rFonts w:ascii="仿宋_GB2312" w:hAnsi="仿宋_GB2312" w:cs="仿宋_GB2312" w:eastAsia="仿宋_GB2312"/>
                      <w:sz w:val="21"/>
                    </w:rPr>
                    <w:t>，视频最大支持</w:t>
                  </w:r>
                  <w:r>
                    <w:rPr>
                      <w:rFonts w:ascii="仿宋_GB2312" w:hAnsi="仿宋_GB2312" w:cs="仿宋_GB2312" w:eastAsia="仿宋_GB2312"/>
                      <w:sz w:val="21"/>
                    </w:rPr>
                    <w:t>200</w:t>
                  </w:r>
                  <w:r>
                    <w:rPr>
                      <w:rFonts w:ascii="仿宋_GB2312" w:hAnsi="仿宋_GB2312" w:cs="仿宋_GB2312" w:eastAsia="仿宋_GB2312"/>
                      <w:sz w:val="21"/>
                    </w:rPr>
                    <w:t>倍变焦，红外镜头分辨率≥</w:t>
                  </w:r>
                  <w:r>
                    <w:rPr>
                      <w:rFonts w:ascii="仿宋_GB2312" w:hAnsi="仿宋_GB2312" w:cs="仿宋_GB2312" w:eastAsia="仿宋_GB2312"/>
                      <w:sz w:val="21"/>
                    </w:rPr>
                    <w:t>640X512@30fps</w:t>
                  </w:r>
                  <w:r>
                    <w:rPr>
                      <w:rFonts w:ascii="仿宋_GB2312" w:hAnsi="仿宋_GB2312" w:cs="仿宋_GB2312" w:eastAsia="仿宋_GB2312"/>
                      <w:sz w:val="21"/>
                    </w:rPr>
                    <w:t>。气体检测仪挂载能检测</w:t>
                  </w:r>
                  <w:r>
                    <w:rPr>
                      <w:rFonts w:ascii="仿宋_GB2312" w:hAnsi="仿宋_GB2312" w:cs="仿宋_GB2312" w:eastAsia="仿宋_GB2312"/>
                      <w:sz w:val="21"/>
                    </w:rPr>
                    <w:t>PM2.5</w:t>
                  </w:r>
                  <w:r>
                    <w:rPr>
                      <w:rFonts w:ascii="仿宋_GB2312" w:hAnsi="仿宋_GB2312" w:cs="仿宋_GB2312" w:eastAsia="仿宋_GB2312"/>
                      <w:sz w:val="21"/>
                    </w:rPr>
                    <w:t>、</w:t>
                  </w:r>
                  <w:r>
                    <w:rPr>
                      <w:rFonts w:ascii="仿宋_GB2312" w:hAnsi="仿宋_GB2312" w:cs="仿宋_GB2312" w:eastAsia="仿宋_GB2312"/>
                      <w:sz w:val="21"/>
                    </w:rPr>
                    <w:t>PM10</w:t>
                  </w:r>
                  <w:r>
                    <w:rPr>
                      <w:rFonts w:ascii="仿宋_GB2312" w:hAnsi="仿宋_GB2312" w:cs="仿宋_GB2312" w:eastAsia="仿宋_GB2312"/>
                      <w:sz w:val="21"/>
                    </w:rPr>
                    <w:t>、</w:t>
                  </w:r>
                  <w:r>
                    <w:rPr>
                      <w:rFonts w:ascii="仿宋_GB2312" w:hAnsi="仿宋_GB2312" w:cs="仿宋_GB2312" w:eastAsia="仿宋_GB2312"/>
                      <w:sz w:val="21"/>
                    </w:rPr>
                    <w:t>SO</w:t>
                  </w:r>
                  <w:r>
                    <w:rPr>
                      <w:rFonts w:ascii="仿宋_GB2312" w:hAnsi="仿宋_GB2312" w:cs="仿宋_GB2312" w:eastAsia="仿宋_GB2312"/>
                      <w:sz w:val="21"/>
                    </w:rPr>
                    <w:t>₂、</w:t>
                  </w:r>
                  <w:r>
                    <w:rPr>
                      <w:rFonts w:ascii="仿宋_GB2312" w:hAnsi="仿宋_GB2312" w:cs="仿宋_GB2312" w:eastAsia="仿宋_GB2312"/>
                      <w:sz w:val="21"/>
                    </w:rPr>
                    <w:t>NO</w:t>
                  </w:r>
                  <w:r>
                    <w:rPr>
                      <w:rFonts w:ascii="仿宋_GB2312" w:hAnsi="仿宋_GB2312" w:cs="仿宋_GB2312" w:eastAsia="仿宋_GB2312"/>
                      <w:sz w:val="21"/>
                    </w:rPr>
                    <w:t>₂、臭氧、</w:t>
                  </w:r>
                  <w:r>
                    <w:rPr>
                      <w:rFonts w:ascii="仿宋_GB2312" w:hAnsi="仿宋_GB2312" w:cs="仿宋_GB2312" w:eastAsia="仿宋_GB2312"/>
                      <w:sz w:val="21"/>
                    </w:rPr>
                    <w:t>CO</w:t>
                  </w:r>
                  <w:r>
                    <w:rPr>
                      <w:rFonts w:ascii="仿宋_GB2312" w:hAnsi="仿宋_GB2312" w:cs="仿宋_GB2312" w:eastAsia="仿宋_GB2312"/>
                      <w:sz w:val="21"/>
                    </w:rPr>
                    <w:t>、</w:t>
                  </w:r>
                  <w:r>
                    <w:rPr>
                      <w:rFonts w:ascii="仿宋_GB2312" w:hAnsi="仿宋_GB2312" w:cs="仿宋_GB2312" w:eastAsia="仿宋_GB2312"/>
                      <w:sz w:val="21"/>
                    </w:rPr>
                    <w:t>VOC</w:t>
                  </w:r>
                  <w:r>
                    <w:rPr>
                      <w:rFonts w:ascii="仿宋_GB2312" w:hAnsi="仿宋_GB2312" w:cs="仿宋_GB2312" w:eastAsia="仿宋_GB2312"/>
                      <w:sz w:val="21"/>
                    </w:rPr>
                    <w:t>等环境污染因子数据。</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、提供不少于</w:t>
                  </w:r>
                  <w:r>
                    <w:rPr>
                      <w:rFonts w:ascii="仿宋_GB2312" w:hAnsi="仿宋_GB2312" w:cs="仿宋_GB2312" w:eastAsia="仿宋_GB2312"/>
                      <w:sz w:val="21"/>
                    </w:rPr>
                    <w:t>4</w:t>
                  </w:r>
                  <w:r>
                    <w:rPr>
                      <w:rFonts w:ascii="仿宋_GB2312" w:hAnsi="仿宋_GB2312" w:cs="仿宋_GB2312" w:eastAsia="仿宋_GB2312"/>
                      <w:sz w:val="21"/>
                    </w:rPr>
                    <w:t>台无人机运输车辆，具体要求：多功能运输车，</w:t>
                  </w:r>
                  <w:r>
                    <w:rPr>
                      <w:rFonts w:ascii="仿宋_GB2312" w:hAnsi="仿宋_GB2312" w:cs="仿宋_GB2312" w:eastAsia="仿宋_GB2312"/>
                      <w:sz w:val="21"/>
                    </w:rPr>
                    <w:t>3</w:t>
                  </w:r>
                  <w:r>
                    <w:rPr>
                      <w:rFonts w:ascii="仿宋_GB2312" w:hAnsi="仿宋_GB2312" w:cs="仿宋_GB2312" w:eastAsia="仿宋_GB2312"/>
                      <w:sz w:val="21"/>
                    </w:rPr>
                    <w:t>座以上，车身长度≥</w:t>
                  </w:r>
                  <w:r>
                    <w:rPr>
                      <w:rFonts w:ascii="仿宋_GB2312" w:hAnsi="仿宋_GB2312" w:cs="仿宋_GB2312" w:eastAsia="仿宋_GB2312"/>
                      <w:sz w:val="21"/>
                    </w:rPr>
                    <w:t>4900mm</w:t>
                  </w:r>
                  <w:r>
                    <w:rPr>
                      <w:rFonts w:ascii="仿宋_GB2312" w:hAnsi="仿宋_GB2312" w:cs="仿宋_GB2312" w:eastAsia="仿宋_GB2312"/>
                      <w:sz w:val="21"/>
                    </w:rPr>
                    <w:t>，车身宽度≥</w:t>
                  </w:r>
                  <w:r>
                    <w:rPr>
                      <w:rFonts w:ascii="仿宋_GB2312" w:hAnsi="仿宋_GB2312" w:cs="仿宋_GB2312" w:eastAsia="仿宋_GB2312"/>
                      <w:sz w:val="21"/>
                    </w:rPr>
                    <w:t>1900mm</w:t>
                  </w:r>
                  <w:r>
                    <w:rPr>
                      <w:rFonts w:ascii="仿宋_GB2312" w:hAnsi="仿宋_GB2312" w:cs="仿宋_GB2312" w:eastAsia="仿宋_GB2312"/>
                      <w:sz w:val="21"/>
                    </w:rPr>
                    <w:t>，具有足够空间，可同时运输多旋翼、正射影像处理工作站，配备车载无人机电池保温箱，配备车载</w:t>
                  </w:r>
                  <w:r>
                    <w:rPr>
                      <w:rFonts w:ascii="仿宋_GB2312" w:hAnsi="仿宋_GB2312" w:cs="仿宋_GB2312" w:eastAsia="仿宋_GB2312"/>
                      <w:sz w:val="21"/>
                    </w:rPr>
                    <w:t>220V</w:t>
                  </w:r>
                  <w:r>
                    <w:rPr>
                      <w:rFonts w:ascii="仿宋_GB2312" w:hAnsi="仿宋_GB2312" w:cs="仿宋_GB2312" w:eastAsia="仿宋_GB2312"/>
                      <w:sz w:val="21"/>
                    </w:rPr>
                    <w:t>供电装置，可为无人机电池、车载无人机电池保温箱、正射影像处理工作站供电。</w:t>
                  </w:r>
                </w:p>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、提供不少于</w:t>
                  </w:r>
                  <w:r>
                    <w:rPr>
                      <w:rFonts w:ascii="仿宋_GB2312" w:hAnsi="仿宋_GB2312" w:cs="仿宋_GB2312" w:eastAsia="仿宋_GB2312"/>
                      <w:sz w:val="21"/>
                    </w:rPr>
                    <w:t>4</w:t>
                  </w:r>
                  <w:r>
                    <w:rPr>
                      <w:rFonts w:ascii="仿宋_GB2312" w:hAnsi="仿宋_GB2312" w:cs="仿宋_GB2312" w:eastAsia="仿宋_GB2312"/>
                      <w:sz w:val="21"/>
                    </w:rPr>
                    <w:t>台正射影像处理工作站配置要求：台式工作站，处理器≥</w:t>
                  </w:r>
                  <w:r>
                    <w:rPr>
                      <w:rFonts w:ascii="仿宋_GB2312" w:hAnsi="仿宋_GB2312" w:cs="仿宋_GB2312" w:eastAsia="仿宋_GB2312"/>
                      <w:sz w:val="21"/>
                    </w:rPr>
                    <w:t>I9-12900K 3.19Ghz</w:t>
                  </w:r>
                  <w:r>
                    <w:rPr>
                      <w:rFonts w:ascii="仿宋_GB2312" w:hAnsi="仿宋_GB2312" w:cs="仿宋_GB2312" w:eastAsia="仿宋_GB2312"/>
                      <w:sz w:val="21"/>
                    </w:rPr>
                    <w:t>，内存≥</w:t>
                  </w:r>
                  <w:r>
                    <w:rPr>
                      <w:rFonts w:ascii="仿宋_GB2312" w:hAnsi="仿宋_GB2312" w:cs="仿宋_GB2312" w:eastAsia="仿宋_GB2312"/>
                      <w:sz w:val="21"/>
                    </w:rPr>
                    <w:t>32G</w:t>
                  </w:r>
                  <w:r>
                    <w:rPr>
                      <w:rFonts w:ascii="仿宋_GB2312" w:hAnsi="仿宋_GB2312" w:cs="仿宋_GB2312" w:eastAsia="仿宋_GB2312"/>
                      <w:sz w:val="21"/>
                    </w:rPr>
                    <w:t>，显存容量≥</w:t>
                  </w:r>
                  <w:r>
                    <w:rPr>
                      <w:rFonts w:ascii="仿宋_GB2312" w:hAnsi="仿宋_GB2312" w:cs="仿宋_GB2312" w:eastAsia="仿宋_GB2312"/>
                      <w:sz w:val="21"/>
                    </w:rPr>
                    <w:t>12G</w:t>
                  </w:r>
                  <w:r>
                    <w:rPr>
                      <w:rFonts w:ascii="仿宋_GB2312" w:hAnsi="仿宋_GB2312" w:cs="仿宋_GB2312" w:eastAsia="仿宋_GB2312"/>
                      <w:sz w:val="21"/>
                    </w:rPr>
                    <w:t>，硬盘容量≥</w:t>
                  </w:r>
                  <w:r>
                    <w:rPr>
                      <w:rFonts w:ascii="仿宋_GB2312" w:hAnsi="仿宋_GB2312" w:cs="仿宋_GB2312" w:eastAsia="仿宋_GB2312"/>
                      <w:sz w:val="21"/>
                    </w:rPr>
                    <w:t>24T</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4</w:t>
                  </w:r>
                  <w:r>
                    <w:rPr>
                      <w:rFonts w:ascii="仿宋_GB2312" w:hAnsi="仿宋_GB2312" w:cs="仿宋_GB2312" w:eastAsia="仿宋_GB2312"/>
                      <w:sz w:val="21"/>
                    </w:rPr>
                    <w:t>、数据接入要求：无人机飞行数据接入生态环境执法无人机过程监控系统。</w:t>
                  </w:r>
                </w:p>
                <w:p>
                  <w:pPr>
                    <w:pStyle w:val="null3"/>
                    <w:ind w:firstLine="420"/>
                  </w:pPr>
                  <w:r>
                    <w:rPr>
                      <w:rFonts w:ascii="仿宋_GB2312" w:hAnsi="仿宋_GB2312" w:cs="仿宋_GB2312" w:eastAsia="仿宋_GB2312"/>
                      <w:sz w:val="21"/>
                    </w:rPr>
                    <w:t>5</w:t>
                  </w:r>
                  <w:r>
                    <w:rPr>
                      <w:rFonts w:ascii="仿宋_GB2312" w:hAnsi="仿宋_GB2312" w:cs="仿宋_GB2312" w:eastAsia="仿宋_GB2312"/>
                      <w:sz w:val="21"/>
                    </w:rPr>
                    <w:t>、无人机飞行任务团队成员资质要求：至少</w:t>
                  </w:r>
                  <w:r>
                    <w:rPr>
                      <w:rFonts w:ascii="仿宋_GB2312" w:hAnsi="仿宋_GB2312" w:cs="仿宋_GB2312" w:eastAsia="仿宋_GB2312"/>
                      <w:sz w:val="21"/>
                    </w:rPr>
                    <w:t>4</w:t>
                  </w:r>
                  <w:r>
                    <w:rPr>
                      <w:rFonts w:ascii="仿宋_GB2312" w:hAnsi="仿宋_GB2312" w:cs="仿宋_GB2312" w:eastAsia="仿宋_GB2312"/>
                      <w:sz w:val="21"/>
                    </w:rPr>
                    <w:t>人须同时持有超视距－多旋翼民用无人驾驶航空器操控员执照和中级及以上通信工程师资格证书。</w:t>
                  </w:r>
                </w:p>
                <w:p>
                  <w:pPr>
                    <w:pStyle w:val="null3"/>
                    <w:ind w:firstLine="420"/>
                  </w:pPr>
                  <w:r>
                    <w:rPr>
                      <w:rFonts w:ascii="仿宋_GB2312" w:hAnsi="仿宋_GB2312" w:cs="仿宋_GB2312" w:eastAsia="仿宋_GB2312"/>
                      <w:sz w:val="21"/>
                    </w:rPr>
                    <w:t>6</w:t>
                  </w:r>
                  <w:r>
                    <w:rPr>
                      <w:rFonts w:ascii="仿宋_GB2312" w:hAnsi="仿宋_GB2312" w:cs="仿宋_GB2312" w:eastAsia="仿宋_GB2312"/>
                      <w:sz w:val="21"/>
                    </w:rPr>
                    <w:t>、空域及飞行流程要求：提供保障飞行的空域申请，服务期间按照调度安排和生态环境执法无人机过程监控系统飞行流程进行辅助执法巡查。</w:t>
                  </w:r>
                </w:p>
                <w:p>
                  <w:pPr>
                    <w:pStyle w:val="null3"/>
                  </w:pPr>
                  <w:r>
                    <w:rPr>
                      <w:rFonts w:ascii="仿宋_GB2312" w:hAnsi="仿宋_GB2312" w:cs="仿宋_GB2312" w:eastAsia="仿宋_GB2312"/>
                      <w:sz w:val="21"/>
                      <w:b/>
                      <w:color w:val="000000"/>
                    </w:rPr>
                    <w:t>四、商务要求</w:t>
                  </w:r>
                </w:p>
                <w:p>
                  <w:pPr>
                    <w:pStyle w:val="null3"/>
                    <w:ind w:firstLine="420"/>
                  </w:pP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、服务期限：服务期为自合同签订之日起至</w:t>
                  </w:r>
                  <w:r>
                    <w:rPr>
                      <w:rFonts w:ascii="仿宋_GB2312" w:hAnsi="仿宋_GB2312" w:cs="仿宋_GB2312" w:eastAsia="仿宋_GB2312"/>
                      <w:sz w:val="21"/>
                    </w:rPr>
                    <w:t>2026</w:t>
                  </w:r>
                  <w:r>
                    <w:rPr>
                      <w:rFonts w:ascii="仿宋_GB2312" w:hAnsi="仿宋_GB2312" w:cs="仿宋_GB2312" w:eastAsia="仿宋_GB2312"/>
                      <w:sz w:val="21"/>
                    </w:rPr>
                    <w:t>年</w:t>
                  </w:r>
                  <w:r>
                    <w:rPr>
                      <w:rFonts w:ascii="仿宋_GB2312" w:hAnsi="仿宋_GB2312" w:cs="仿宋_GB2312" w:eastAsia="仿宋_GB2312"/>
                      <w:sz w:val="21"/>
                    </w:rPr>
                    <w:t>5</w:t>
                  </w:r>
                  <w:r>
                    <w:rPr>
                      <w:rFonts w:ascii="仿宋_GB2312" w:hAnsi="仿宋_GB2312" w:cs="仿宋_GB2312" w:eastAsia="仿宋_GB2312"/>
                      <w:sz w:val="21"/>
                    </w:rPr>
                    <w:t>月</w:t>
                  </w:r>
                  <w:r>
                    <w:rPr>
                      <w:rFonts w:ascii="仿宋_GB2312" w:hAnsi="仿宋_GB2312" w:cs="仿宋_GB2312" w:eastAsia="仿宋_GB2312"/>
                      <w:sz w:val="21"/>
                    </w:rPr>
                    <w:t>31</w:t>
                  </w:r>
                  <w:r>
                    <w:rPr>
                      <w:rFonts w:ascii="仿宋_GB2312" w:hAnsi="仿宋_GB2312" w:cs="仿宋_GB2312" w:eastAsia="仿宋_GB2312"/>
                      <w:sz w:val="21"/>
                    </w:rPr>
                    <w:t>日。</w:t>
                  </w:r>
                </w:p>
                <w:p>
                  <w:pPr>
                    <w:pStyle w:val="null3"/>
                    <w:ind w:firstLine="420"/>
                  </w:pPr>
                  <w:r>
                    <w:rPr>
                      <w:rFonts w:ascii="仿宋_GB2312" w:hAnsi="仿宋_GB2312" w:cs="仿宋_GB2312" w:eastAsia="仿宋_GB2312"/>
                      <w:sz w:val="21"/>
                    </w:rPr>
                    <w:t xml:space="preserve"> </w:t>
                  </w:r>
                  <w:r>
                    <w:rPr>
                      <w:rFonts w:ascii="仿宋_GB2312" w:hAnsi="仿宋_GB2312" w:cs="仿宋_GB2312" w:eastAsia="仿宋_GB2312"/>
                      <w:sz w:val="21"/>
                    </w:rPr>
                    <w:t>2</w:t>
                  </w:r>
                  <w:r>
                    <w:rPr>
                      <w:rFonts w:ascii="仿宋_GB2312" w:hAnsi="仿宋_GB2312" w:cs="仿宋_GB2312" w:eastAsia="仿宋_GB2312"/>
                      <w:sz w:val="21"/>
                    </w:rPr>
                    <w:t>、服务地点：采购人指定地点</w:t>
                  </w:r>
                </w:p>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、考核（验收）标准和方法：（</w:t>
                  </w:r>
                  <w:r>
                    <w:rPr>
                      <w:rFonts w:ascii="仿宋_GB2312" w:hAnsi="仿宋_GB2312" w:cs="仿宋_GB2312" w:eastAsia="仿宋_GB2312"/>
                      <w:sz w:val="21"/>
                    </w:rPr>
                    <w:t>1</w:t>
                  </w:r>
                  <w:r>
                    <w:rPr>
                      <w:rFonts w:ascii="仿宋_GB2312" w:hAnsi="仿宋_GB2312" w:cs="仿宋_GB2312" w:eastAsia="仿宋_GB2312"/>
                      <w:sz w:val="21"/>
                    </w:rPr>
                    <w:t>）合同文本（</w:t>
                  </w:r>
                  <w:r>
                    <w:rPr>
                      <w:rFonts w:ascii="仿宋_GB2312" w:hAnsi="仿宋_GB2312" w:cs="仿宋_GB2312" w:eastAsia="仿宋_GB2312"/>
                      <w:sz w:val="21"/>
                    </w:rPr>
                    <w:t>2</w:t>
                  </w:r>
                  <w:r>
                    <w:rPr>
                      <w:rFonts w:ascii="仿宋_GB2312" w:hAnsi="仿宋_GB2312" w:cs="仿宋_GB2312" w:eastAsia="仿宋_GB2312"/>
                      <w:sz w:val="21"/>
                    </w:rPr>
                    <w:t>）国内相应的标准、规范（</w:t>
                  </w:r>
                  <w:r>
                    <w:rPr>
                      <w:rFonts w:ascii="仿宋_GB2312" w:hAnsi="仿宋_GB2312" w:cs="仿宋_GB2312" w:eastAsia="仿宋_GB2312"/>
                      <w:sz w:val="21"/>
                    </w:rPr>
                    <w:t>3</w:t>
                  </w:r>
                  <w:r>
                    <w:rPr>
                      <w:rFonts w:ascii="仿宋_GB2312" w:hAnsi="仿宋_GB2312" w:cs="仿宋_GB2312" w:eastAsia="仿宋_GB2312"/>
                      <w:sz w:val="21"/>
                    </w:rPr>
                    <w:t>）竞争性磋商文件、竞争性磋商响应文件、承诺等。</w:t>
                  </w:r>
                </w:p>
                <w:p>
                  <w:pPr>
                    <w:pStyle w:val="null3"/>
                    <w:ind w:firstLine="420"/>
                  </w:pPr>
                  <w:r>
                    <w:rPr>
                      <w:rFonts w:ascii="仿宋_GB2312" w:hAnsi="仿宋_GB2312" w:cs="仿宋_GB2312" w:eastAsia="仿宋_GB2312"/>
                      <w:sz w:val="21"/>
                    </w:rPr>
                    <w:t>4</w:t>
                  </w:r>
                  <w:r>
                    <w:rPr>
                      <w:rFonts w:ascii="仿宋_GB2312" w:hAnsi="仿宋_GB2312" w:cs="仿宋_GB2312" w:eastAsia="仿宋_GB2312"/>
                      <w:sz w:val="21"/>
                    </w:rPr>
                    <w:t>、支付方式：分期付款</w:t>
                  </w:r>
                </w:p>
                <w:p>
                  <w:pPr>
                    <w:pStyle w:val="null3"/>
                    <w:ind w:firstLine="420"/>
                  </w:pPr>
                  <w:r>
                    <w:rPr>
                      <w:rFonts w:ascii="仿宋_GB2312" w:hAnsi="仿宋_GB2312" w:cs="仿宋_GB2312" w:eastAsia="仿宋_GB2312"/>
                      <w:sz w:val="21"/>
                    </w:rPr>
                    <w:t>5</w:t>
                  </w:r>
                  <w:r>
                    <w:rPr>
                      <w:rFonts w:ascii="仿宋_GB2312" w:hAnsi="仿宋_GB2312" w:cs="仿宋_GB2312" w:eastAsia="仿宋_GB2312"/>
                      <w:sz w:val="21"/>
                    </w:rPr>
                    <w:t>、付款</w:t>
                  </w:r>
                  <w:r>
                    <w:rPr>
                      <w:rFonts w:ascii="仿宋_GB2312" w:hAnsi="仿宋_GB2312" w:cs="仿宋_GB2312" w:eastAsia="仿宋_GB2312"/>
                      <w:sz w:val="21"/>
                    </w:rPr>
                    <w:t>方式：</w:t>
                  </w:r>
                </w:p>
                <w:p>
                  <w:pPr>
                    <w:pStyle w:val="null3"/>
                  </w:pPr>
                  <w:r>
                    <w:rPr>
                      <w:rFonts w:ascii="仿宋_GB2312" w:hAnsi="仿宋_GB2312" w:cs="仿宋_GB2312" w:eastAsia="仿宋_GB2312"/>
                      <w:sz w:val="21"/>
                    </w:rPr>
                    <w:t xml:space="preserve">    （1）自合同签订之日起，成交人须开具与合同金额相应的增值税发票给采购人，采购人收到发票 ，达到付款条件起10日内，支付合同总金额的 44.30%。</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（2）2026年5月31日服务期结束后30日内，将飞行成果资料交付验收合格后，达到付款条件起30日内，支付合同总金额的55.70%。</w:t>
                  </w:r>
                </w:p>
                <w:p>
                  <w:pPr>
                    <w:pStyle w:val="null3"/>
                    <w:ind w:firstLine="420"/>
                  </w:pPr>
                  <w:r>
                    <w:rPr>
                      <w:rFonts w:ascii="仿宋_GB2312" w:hAnsi="仿宋_GB2312" w:cs="仿宋_GB2312" w:eastAsia="仿宋_GB2312"/>
                      <w:sz w:val="21"/>
                    </w:rPr>
                    <w:t>6</w:t>
                  </w:r>
                  <w:r>
                    <w:rPr>
                      <w:rFonts w:ascii="仿宋_GB2312" w:hAnsi="仿宋_GB2312" w:cs="仿宋_GB2312" w:eastAsia="仿宋_GB2312"/>
                      <w:sz w:val="21"/>
                    </w:rPr>
                    <w:t>、违约责任与争议解决办法：合同执行中发生争议的，当事人双方应协商解决，协商达不成一致时，双方同意向西安市仲裁委员会申请仲裁。</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有完善的项目实施团队，提供团队人员名单。</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有完成本项目服务所需的设备，提供有设备清单</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自合同签订之日起至2026年5月31日。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自合同签订之日起，成交人须开具与合同金额相应的增值税发票给采购人，采购人收到发票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44.30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2026年5月31日服务期结束后30日内，将飞行成果资料交付验收合格后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55.70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为保证项目顺利备案，成交供应商在领取纸质版成交通知书时，需提供纸质版响应文件一正两副，电子版一份。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提供2023年度或2024年度经审计的财务报告（成立时间至响应文件递交截止时间不足一年的可提供成立后任意时段的资产负债表），或提供响应文件递交截止日前三个月内其基本存款账户开户银行出具的资信证明。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履行合同技术能力的承诺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法人身份证明或授权书</w:t>
            </w:r>
          </w:p>
        </w:tc>
        <w:tc>
          <w:tcPr>
            <w:tcW w:type="dxa" w:w="3322"/>
          </w:tcPr>
          <w:p>
            <w:pPr>
              <w:pStyle w:val="null3"/>
            </w:pPr>
            <w:r>
              <w:rPr>
                <w:rFonts w:ascii="仿宋_GB2312" w:hAnsi="仿宋_GB2312" w:cs="仿宋_GB2312" w:eastAsia="仿宋_GB2312"/>
              </w:rPr>
              <w:t>法定代表人参加的，须提供法定代表人身份证明及本人身份证复印件；法定代表人授权他人参加的，须提供法定代表人委托授权书、被授权代表的身份证复印件。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信用记录审查</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需提供信用中国网及中国政府采购网相应查询结果网页截图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本项目不接受联合体投标；（提供书面承诺，加盖供应商公章）。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单位负责人为同一人或者存在直接控股、管理关系的不同供应商，不得同时参加本采购项目投标；（提供书面承诺，加盖供应商公章）。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响应文件上法定代表人或被授权人的签字齐全并加盖公章。</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其他相关资料.docx 响应文件封面 技术偏离表.docx 残疾人福利性单位声明函 服务方案 标的清单 项目实施人员情况表.docx 供应商拒绝政府采购领域商业贿赂承诺书.docx 业绩相关证明材料.docx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其他相关资料.docx 响应文件封面 技术偏离表.docx 残疾人福利性单位声明函 服务方案 标的清单 项目实施人员情况表.docx 供应商拒绝政府采购领域商业贿赂承诺书.docx 业绩相关证明材料.docx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其他相关资料.docx 响应文件封面 技术偏离表.docx 残疾人福利性单位声明函 服务方案 标的清单 项目实施人员情况表.docx 供应商拒绝政府采购领域商业贿赂承诺书.docx 业绩相关证明材料.docx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不能有采购人不能接受的附加条件</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其他相关资料.docx 响应文件封面 技术偏离表.docx 残疾人福利性单位声明函 服务方案 标的清单 项目实施人员情况表.docx 供应商拒绝政府采购领域商业贿赂承诺书.docx 业绩相关证明材料.docx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 服务内容及服务邀请应答表 商务应答表 服务方案</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投标人针对本项目提供周密详细的服务方案；包括但不限于：①服务优势②实施进度计划③数据接入服务方案④预期成果⑤效益分析。 (1)满足磋商文件要求，无瑕疵：16分； (2)内容存在1处瑕疵：14分； (3)内容存在2处瑕疵：12分； (4)内容存在3处瑕疵：10分； (5)内容存在4处瑕疵：8分； (6)内容存在5处瑕疵：6分； (7)内容存在6处瑕疵：4分； (8)内容存在7处瑕疵：2分； (9)未提供或不满足招标文件要求或内容存在8处及以上瑕疵：0分。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投标人针对本项目提供完整详细的项目管理方案；包括但不限于：①服务质量保障措施；③数据质量保障措施③安全管理方案；④应急预案及解决措施；⑤保密措施。 (1)满足磋商文件要求，无瑕疵：12分； (2)内容存在1处瑕疵：10分； (3)内容存在2处瑕疵：8分； (4)内容存在3处瑕疵：6分； (5)内容存在4处瑕疵：4分； (6)内容存在5处瑕疵：2分； (7)未提供或不满足磋商文件要求或内容存在6处及以上瑕疵：0分。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重点难点分析及解决方案</w:t>
            </w:r>
          </w:p>
        </w:tc>
        <w:tc>
          <w:tcPr>
            <w:tcW w:type="dxa" w:w="2492"/>
          </w:tcPr>
          <w:p>
            <w:pPr>
              <w:pStyle w:val="null3"/>
            </w:pPr>
            <w:r>
              <w:rPr>
                <w:rFonts w:ascii="仿宋_GB2312" w:hAnsi="仿宋_GB2312" w:cs="仿宋_GB2312" w:eastAsia="仿宋_GB2312"/>
              </w:rPr>
              <w:t>根据投标人针对本项目实际情况提供重点难点分析及解决方案；包括但不限于：①项目需求理解；②项目风险识别；③重点难点分析及解决方案。 (1)满足磋商文件要求，无瑕疵：6分； (2)内容存在1处瑕疵：5分； (3)内容存在2处瑕疵：4分； (4)内容存在3处瑕疵：3分； (5)内容存在4处瑕疵：2分； (6)内容存在5处瑕疵：1分； (7)未提供或不满足磋商文件要求或内容存在6处及以上瑕疵：0分。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根据投标人针对本项目提供的售后服务方案；包括但不限于：①售后服务承诺；②售后服务方式；③售后服务人员；④服务响应时间。 (1)满足磋商文件要求，无瑕疵：6分； (2)内容存在1处瑕疵：5分； (3)内容存在2处瑕疵：4分； (4)内容存在3处瑕疵：3分； (5)内容存在4处瑕疵：2分； (6)内容存在5处瑕疵：1分； (7)未提供或不满足磋商文件要求或内容存在6处及以上瑕疵：0分。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无人机飞行数据接入</w:t>
            </w:r>
          </w:p>
        </w:tc>
        <w:tc>
          <w:tcPr>
            <w:tcW w:type="dxa" w:w="2492"/>
          </w:tcPr>
          <w:p>
            <w:pPr>
              <w:pStyle w:val="null3"/>
            </w:pPr>
            <w:r>
              <w:rPr>
                <w:rFonts w:ascii="仿宋_GB2312" w:hAnsi="仿宋_GB2312" w:cs="仿宋_GB2312" w:eastAsia="仿宋_GB2312"/>
              </w:rPr>
              <w:t>投标人提供生态环境执法无人机过程监控系统功能及架构，能提供详细的数据接入方案。 (1)满足磋商文件要求，无瑕疵：8分； (2)内容存在1处瑕疵：6分； (3)内容存在2处瑕疵：4分； (4)内容存在3处瑕疵：2分； (5)未提供或不满足磋商文件要求或内容存在4处及以上瑕疵：0分。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空域及飞行流程</w:t>
            </w:r>
          </w:p>
        </w:tc>
        <w:tc>
          <w:tcPr>
            <w:tcW w:type="dxa" w:w="2492"/>
          </w:tcPr>
          <w:p>
            <w:pPr>
              <w:pStyle w:val="null3"/>
            </w:pPr>
            <w:r>
              <w:rPr>
                <w:rFonts w:ascii="仿宋_GB2312" w:hAnsi="仿宋_GB2312" w:cs="仿宋_GB2312" w:eastAsia="仿宋_GB2312"/>
              </w:rPr>
              <w:t>1、投标人提供2023年1月至今的通用航空临时空域回执单或空域批复文件；每个计1.5分,共3分；未提供不计分。 2、投标人具有空域申请能力，熟悉生态环境执法无人机过程监控系统，能根据执法任务提出全面合理规范的飞行流程。 1)满足磋商文件要求，无瑕疵：6分； (2)内容存在1处瑕疵：4分； (3)内容存在2处瑕疵：2分； (4)未提供或不满足磋商文件要求或内容存在3处及以上瑕疵：0分。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1、每提供一名持有中国民用航空局签发的民用无人驾驶航空器操控员执照人员，每提供1人计0.5分，满分4分； 2、持有中国民用航空局签发的民用无人驾驶航空器操控员执照人员同时可以提供超视距-多旋翼和中级及以上通信工程师资格证书的人员，每提供1人计1分，满分4分； 3、数据接入分析处理员须具有软件开发或程序设计类职业资格证书，每提供1人计1分，满分2分。 备注：以上人员须为本公司在册正式人员人员，需提供人员证书、社保缴纳证明，单个人员未提供或提供不全的不计分。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项目实施人员情况表.docx</w:t>
            </w:r>
          </w:p>
        </w:tc>
      </w:tr>
      <w:tr>
        <w:tc>
          <w:tcPr>
            <w:tcW w:type="dxa" w:w="831"/>
            <w:vMerge/>
          </w:tcPr>
          <w:p/>
        </w:tc>
        <w:tc>
          <w:tcPr>
            <w:tcW w:type="dxa" w:w="1661"/>
          </w:tcPr>
          <w:p>
            <w:pPr>
              <w:pStyle w:val="null3"/>
            </w:pPr>
            <w:r>
              <w:rPr>
                <w:rFonts w:ascii="仿宋_GB2312" w:hAnsi="仿宋_GB2312" w:cs="仿宋_GB2312" w:eastAsia="仿宋_GB2312"/>
              </w:rPr>
              <w:t>投入本项目主要设备</w:t>
            </w:r>
          </w:p>
        </w:tc>
        <w:tc>
          <w:tcPr>
            <w:tcW w:type="dxa" w:w="2492"/>
          </w:tcPr>
          <w:p>
            <w:pPr>
              <w:pStyle w:val="null3"/>
            </w:pPr>
            <w:r>
              <w:rPr>
                <w:rFonts w:ascii="仿宋_GB2312" w:hAnsi="仿宋_GB2312" w:cs="仿宋_GB2312" w:eastAsia="仿宋_GB2312"/>
              </w:rPr>
              <w:t>提供无人机购置发票或租赁协议，提供车辆购置发票、车辆行驶证、车辆保险等证明材料，确保拟投入本项目的车辆及设备能够满足采购需求 (1)满足磋商文件要求，无瑕疵：10分； (2)内容存在1处瑕疵：8分； (3)内容存在2处瑕疵：6分； (4)内容存在3处瑕疵：4分； (5)内容存在4处瑕疵：2分； (6)未提供或不满足磋商文件要求或内容存在5处及以上瑕疵：0分。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认证证书</w:t>
            </w:r>
          </w:p>
        </w:tc>
        <w:tc>
          <w:tcPr>
            <w:tcW w:type="dxa" w:w="2492"/>
          </w:tcPr>
          <w:p>
            <w:pPr>
              <w:pStyle w:val="null3"/>
            </w:pPr>
            <w:r>
              <w:rPr>
                <w:rFonts w:ascii="仿宋_GB2312" w:hAnsi="仿宋_GB2312" w:cs="仿宋_GB2312" w:eastAsia="仿宋_GB2312"/>
              </w:rPr>
              <w:t>投标人提供：民用无人驾驶航空器运营合格证、国内互联网虚拟专网增值电信业务经营许可证、民用无人机企业服务能力乙级以上资质证书、无人机测绘企业服务乙级及以上资质证书，提供一个计2分，证书共计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提供投标人2022年5月1日至今类似项目合同，每提供1个得1分，最高得5分。（以合同签订日期为准）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业绩相关证明材料.docx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详见附件：项目实施人员情况表.docx</w:t>
      </w:r>
    </w:p>
    <w:p>
      <w:pPr>
        <w:pStyle w:val="null3"/>
        <w:ind w:firstLine="960"/>
      </w:pPr>
      <w:r>
        <w:rPr>
          <w:rFonts w:ascii="仿宋_GB2312" w:hAnsi="仿宋_GB2312" w:cs="仿宋_GB2312" w:eastAsia="仿宋_GB2312"/>
        </w:rPr>
        <w:t>详见附件：业绩相关证明材料.docx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详见附件：其他相关资料.docx</w:t>
      </w:r>
    </w:p>
    <w:p>
      <w:pPr>
        <w:pStyle w:val="null3"/>
        <w:ind w:firstLine="960"/>
      </w:pPr>
      <w:r>
        <w:rPr>
          <w:rFonts w:ascii="仿宋_GB2312" w:hAnsi="仿宋_GB2312" w:cs="仿宋_GB2312" w:eastAsia="仿宋_GB2312"/>
        </w:rPr>
        <w:t>详见附件：技术偏离表.docx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