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版本号：GCCS25-01820250605001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2025年渭河西安城市段包茂高速桥至正阳桥段堤顶照明设施维护项目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GCCS25-018</w:t>
      </w:r>
      <w:r>
        <w:br/>
      </w:r>
      <w:r>
        <w:br/>
      </w:r>
      <w:r>
        <w:br/>
      </w:r>
    </w:p>
    <w:p>
      <w:pPr>
        <w:pStyle w:val="null3"/>
        <w:jc w:val="center"/>
        <w:outlineLvl w:val="2"/>
      </w:pPr>
      <w:r>
        <w:rPr>
          <w:rFonts w:ascii="仿宋_GB2312" w:hAnsi="仿宋_GB2312" w:cs="仿宋_GB2312" w:eastAsia="仿宋_GB2312"/>
          <w:sz w:val="28"/>
          <w:b/>
        </w:rPr>
        <w:t>西安市渭浐河城市段管理中心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西安市渭浐河城市段管理中心</w:t>
      </w:r>
      <w:r>
        <w:rPr>
          <w:rFonts w:ascii="仿宋_GB2312" w:hAnsi="仿宋_GB2312" w:cs="仿宋_GB2312" w:eastAsia="仿宋_GB2312"/>
        </w:rPr>
        <w:t>委托，拟对</w:t>
      </w:r>
      <w:r>
        <w:rPr>
          <w:rFonts w:ascii="仿宋_GB2312" w:hAnsi="仿宋_GB2312" w:cs="仿宋_GB2312" w:eastAsia="仿宋_GB2312"/>
        </w:rPr>
        <w:t>2025年渭河西安城市段包茂高速桥至正阳桥段堤顶照明设施维护项目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2025年渭河西安城市段包茂高速桥至正阳桥段堤顶照明设施维护项目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对堤顶包茂高速桥至正阳桥段263处、共计269盏路灯（其中桥面6盏路灯为双头灯）进行维护。需满足的要求:严格按国家颁发的管理规范，达到合格标准。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西安市渭浐河城市段管理中心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西安市未央区明光路延伸线与渭河大堤交界处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周洁钰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029-86102980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国家计委关于印发招标代理服务收费管理暂行办法的通知》（计价格【2002】1980号）和国家发展和改革委员会办公厅颁发的《关于招标代理服务收费有关问题的通知》（发改办价格【2003】857号）的收费标准收取，不足6000元时按6000元收取； （2）采购代理服务费缴纳账户： 开户名称：陕西国采项目管理有限公司 开 户 行：中国建设银行股份有限公司西安大庆路支行 账 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西安市渭浐河城市段管理中心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西安市渭浐河城市段管理中心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西安市渭浐河城市段管理中心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对堤顶包茂高速桥至正阳桥段263处、共计269盏路灯（其中桥面6盏路灯为双头灯）进行维护。需满足的要求:严格按国家颁发的管理规范，达到合格标准。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545,000.00</w:t>
      </w:r>
    </w:p>
    <w:p>
      <w:pPr>
        <w:pStyle w:val="null3"/>
      </w:pPr>
      <w:r>
        <w:rPr>
          <w:rFonts w:ascii="仿宋_GB2312" w:hAnsi="仿宋_GB2312" w:cs="仿宋_GB2312" w:eastAsia="仿宋_GB2312"/>
        </w:rPr>
        <w:t>采购包最高限价（元）: 545,000.00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2025年渭河西安城市段包茂高速桥至正阳桥段堤顶照明设施维护项目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标的名称：2025年渭河西安城市段包茂高速桥至正阳桥段堤顶照明设施维护项目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一、服务范围</w:t>
            </w:r>
          </w:p>
          <w:p>
            <w:pPr>
              <w:pStyle w:val="null3"/>
              <w:ind w:firstLine="420"/>
            </w:pPr>
            <w:r>
              <w:rPr>
                <w:rFonts w:ascii="仿宋_GB2312" w:hAnsi="仿宋_GB2312" w:cs="仿宋_GB2312" w:eastAsia="仿宋_GB2312"/>
                <w:sz w:val="20"/>
              </w:rPr>
              <w:t>对堤顶包茂高速桥至正阳桥段</w:t>
            </w:r>
            <w:r>
              <w:rPr>
                <w:rFonts w:ascii="仿宋_GB2312" w:hAnsi="仿宋_GB2312" w:cs="仿宋_GB2312" w:eastAsia="仿宋_GB2312"/>
                <w:sz w:val="20"/>
              </w:rPr>
              <w:t>263处、共计269盏路灯（其中桥面6盏路灯为双头灯）进行维护，将原路灯进行拆除、更换石墨烯路灯设备总成及安装调试等；其中将250w高压钠灯头改造为120W石墨烯灯数量263个，150w高压钠灯头改造为60W石墨烯灯数量6个。</w:t>
            </w:r>
          </w:p>
          <w:p>
            <w:pPr>
              <w:pStyle w:val="null3"/>
              <w:ind w:firstLine="420"/>
            </w:pPr>
            <w:r>
              <w:rPr>
                <w:rFonts w:ascii="仿宋_GB2312" w:hAnsi="仿宋_GB2312" w:cs="仿宋_GB2312" w:eastAsia="仿宋_GB2312"/>
                <w:sz w:val="20"/>
              </w:rPr>
              <w:t>二、服务要求</w:t>
            </w:r>
          </w:p>
          <w:p>
            <w:pPr>
              <w:pStyle w:val="null3"/>
              <w:ind w:firstLine="400"/>
              <w:jc w:val="both"/>
            </w:pPr>
            <w:r>
              <w:rPr>
                <w:rFonts w:ascii="仿宋_GB2312" w:hAnsi="仿宋_GB2312" w:cs="仿宋_GB2312" w:eastAsia="仿宋_GB2312"/>
                <w:sz w:val="20"/>
              </w:rPr>
              <w:t>1.供应商须按《城市夜景照明设计规范》（JGJ/T163-2008）和 《城市道路照明设计标准》（CJJ45-2006）等相关技术规范、标准以及维护合同约定的内容提供维护服务。</w:t>
            </w:r>
          </w:p>
          <w:p>
            <w:pPr>
              <w:pStyle w:val="null3"/>
              <w:ind w:firstLine="400"/>
              <w:jc w:val="both"/>
            </w:pPr>
            <w:r>
              <w:rPr>
                <w:rFonts w:ascii="仿宋_GB2312" w:hAnsi="仿宋_GB2312" w:cs="仿宋_GB2312" w:eastAsia="仿宋_GB2312"/>
                <w:sz w:val="20"/>
              </w:rPr>
              <w:t>2.供应商应保证设施完好率不低于98％、亮灯率不低于 98％。</w:t>
            </w:r>
          </w:p>
          <w:p>
            <w:pPr>
              <w:pStyle w:val="null3"/>
              <w:ind w:firstLine="400"/>
              <w:jc w:val="both"/>
            </w:pPr>
            <w:r>
              <w:rPr>
                <w:rFonts w:ascii="仿宋_GB2312" w:hAnsi="仿宋_GB2312" w:cs="仿宋_GB2312" w:eastAsia="仿宋_GB2312"/>
                <w:sz w:val="20"/>
              </w:rPr>
              <w:t>3.供应商拟投入的项目维护人员具有相应的资质或资格，维护工具、设备、材料等符合有关安全、质量技术规范和标准。</w:t>
            </w:r>
          </w:p>
          <w:p>
            <w:pPr>
              <w:pStyle w:val="null3"/>
              <w:ind w:firstLine="400"/>
              <w:jc w:val="both"/>
            </w:pPr>
            <w:r>
              <w:rPr>
                <w:rFonts w:ascii="仿宋_GB2312" w:hAnsi="仿宋_GB2312" w:cs="仿宋_GB2312" w:eastAsia="仿宋_GB2312"/>
                <w:sz w:val="20"/>
              </w:rPr>
              <w:t>4.供应商服务期间应实行全天候巡查和故障抢修，发生故障或出现重大安全隐患应及时采取有效措解除。</w:t>
            </w:r>
          </w:p>
          <w:p>
            <w:pPr>
              <w:pStyle w:val="null3"/>
              <w:ind w:firstLine="400"/>
              <w:jc w:val="both"/>
            </w:pPr>
            <w:r>
              <w:rPr>
                <w:rFonts w:ascii="仿宋_GB2312" w:hAnsi="仿宋_GB2312" w:cs="仿宋_GB2312" w:eastAsia="仿宋_GB2312"/>
                <w:sz w:val="20"/>
              </w:rPr>
              <w:t>5.供应商应储备适当数量的维修配件和材料，各种维修配件和材料应由符合国家有关标准。</w:t>
            </w:r>
          </w:p>
          <w:p>
            <w:pPr>
              <w:pStyle w:val="null3"/>
              <w:ind w:firstLine="400"/>
              <w:jc w:val="both"/>
            </w:pPr>
            <w:r>
              <w:rPr>
                <w:rFonts w:ascii="仿宋_GB2312" w:hAnsi="仿宋_GB2312" w:cs="仿宋_GB2312" w:eastAsia="仿宋_GB2312"/>
                <w:sz w:val="20"/>
              </w:rPr>
              <w:t>6.供应商维护作业车应按甲方要求标识市证设施维护车辆标志，并承担有关费用。</w:t>
            </w:r>
          </w:p>
          <w:p>
            <w:pPr>
              <w:pStyle w:val="null3"/>
              <w:ind w:firstLine="400"/>
              <w:jc w:val="both"/>
            </w:pPr>
            <w:r>
              <w:rPr>
                <w:rFonts w:ascii="仿宋_GB2312" w:hAnsi="仿宋_GB2312" w:cs="仿宋_GB2312" w:eastAsia="仿宋_GB2312"/>
                <w:sz w:val="20"/>
              </w:rPr>
              <w:t>7.维护期结束后，供应商应向采购人完好移交承包范围的设施及有关资料。</w:t>
            </w:r>
          </w:p>
          <w:p>
            <w:pPr>
              <w:pStyle w:val="null3"/>
              <w:ind w:firstLine="400"/>
              <w:jc w:val="both"/>
            </w:pPr>
            <w:r>
              <w:rPr>
                <w:rFonts w:ascii="仿宋_GB2312" w:hAnsi="仿宋_GB2312" w:cs="仿宋_GB2312" w:eastAsia="仿宋_GB2312"/>
                <w:sz w:val="20"/>
              </w:rPr>
              <w:t>8.接受甲方的监督，执行甲方代表发出的指令.</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三、需满足的要求</w:t>
            </w:r>
            <w:r>
              <w:rPr>
                <w:rFonts w:ascii="仿宋_GB2312" w:hAnsi="仿宋_GB2312" w:cs="仿宋_GB2312" w:eastAsia="仿宋_GB2312"/>
                <w:sz w:val="20"/>
              </w:rPr>
              <w:t>:严格按国家颁发的管理规范，达到合格标准。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如在合同履行期内，服务质量执行标准有最新标准时，供应商应该按照采购人的要求，按照新的标准及采购人相关要求执行。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双方签订合同后，供应商开具相应增值税发票，采购人收到发票后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全部服务内容完成验收合格后，供应商开具增值税发票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　服务缺陷的补救措施和索赔 (1)如果乙方提供的服务不符合本合同约定以及磋商文件、响应文件关于服务的要求和承诺，乙方应按照甲方同意的下列一种或几种方式结合起来解决索赔事宜：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(4)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(5)乙方在而合同履行过程中，提供的服务质量不满足甲方验收标准，甲方有权按照通用条款的奖惩原则进行奖惩。 2　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　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（二）合同纠纷的解决方式 1.合同各方应通过友好协商，解决在执行合同过程中所发生的或与合同有关的一切争端。如协商30日内(根据实际情况设定)不能解决，可以按合同规定的方式提起诉讼。 2。诉讼应由甲方住所地人民法院管辖。 3.如诉讼事项不影响合同其他部分的履行，则在诉讼期间，除正在进行诉讼的部分外，合同的其他部分应继续执行。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供应商需在项目电子化交易系统中按要求填写《响应函》完成承诺并进行电子签章。供应商需在《供应商应提交的相关资格证明材料》中提供上述资格证明材料。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 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服务内容及服务邀请应答表 商务应答表 分项报价明细表.docx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一、评审内容 针对采购内容提出适用于本项目的维护方案，方案包括：①原路灯拆除方案；②路灯安装调试方案；③安装人员用电及操作规范培训方案；④故障排查方案。 二、评审标准 1、完整性：方案必须全面，对评审内容中的各项要求有详细描述； 2、针对性：方案能够紧扣项目实际情况，内容科学合理； 3、可实施性：切合本项目实际情况，提出步骤清晰、合理的方案。 三、赋分标准（满分12分） ①原路灯拆除方案：此评审项满分3分，每完全满足一个评审标准得1分；针对每条评审标准，如存在不合理的方面，得0.5分；针对每条评审标准，方案内容与本项目无关或未提供的，得0分。 ②路灯安装调试方案；此评审项满分3分，每完全满足一个评审标准得1分；针对每条评审标准，如存在不合理的方面，得0.5分；针对每条评审标准，方案内容与本项目无关或未提供的，得0分。 ③安装人员用电及操作规范培训方案：此评审项满分3分，每完全满足一个评审标准得1分；针对每条评审标准，如存在不合理的方面，得0.5分；针对每条评审标准，方案内容与本项目无关或未提供的，得0分。 ④故障排查方案：此评审项满分3分，每完全满足一个评审标准得1分；针对每条评审标准，如存在不合理的方面，得0.5分；针对每条评审标准，方案内容与本项目无关或未提供的，得0分。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维护设施现场组织方案</w:t>
            </w:r>
          </w:p>
        </w:tc>
        <w:tc>
          <w:tcPr>
            <w:tcW w:type="dxa" w:w="2492"/>
          </w:tcPr>
          <w:p>
            <w:pPr>
              <w:pStyle w:val="null3"/>
            </w:pPr>
            <w:r>
              <w:rPr>
                <w:rFonts w:ascii="仿宋_GB2312" w:hAnsi="仿宋_GB2312" w:cs="仿宋_GB2312" w:eastAsia="仿宋_GB2312"/>
              </w:rPr>
              <w:t>一、评审内容 针对采购内容提出适用于本项目的维护设施现场组织方案，方案包括：①路灯维修现场组织管理方案；②疏散维护现场群众安全的标识方案；③工作现场环境卫生保护方案。 二、评审标准 1、完整性：方案必须全面，对评审内容中的各项要求有详细描述； 2、针对性：方案能够紧扣项目实际情况，内容科学合理； 3、可实施性：切合本项目实际情况，提出步骤清晰、合理的方案。 三、赋分标准（满分9分） ①路灯维护现场组织管理方案：此评审项满分3分，每完全满足一个评审标准得1分；针对每条评审标准，如存在不合理的方面，得0.5分；针对每条评审标准，方案内容与本项目无关或未提供的，得0分。 ②疏散维护现场群众安全的标识方案；此评审项满分3分，每完全满足一个评审标准得1分；针对每条评审标准，如存在不合理的方面，得0.5分；针对每条评审标准，方案内容与本项目无关或未提供的，得0分。 ③工作现场环境卫生保护方案：此评审项满分3分，每完全满足一个评审标准得1分；针对每条评审标准，如存在不合理的方面，得0.5分；针对每条评审标准，方案内容与本项目无关或未提供的，得0分。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针对采购内容提出适用于本项目的保障措施，包括：①服务质量保证措施；②维护人员安全管理保障措施；③服务进度保障措施。 二、评审标准 1、完整性：方案必须全面，对评审内容中的各项要求有详细描述； 2、针对性：方案能够紧扣项目实际情况，内容科学合理； 3、可实施性：切合本项目实际情况，提出步骤清晰、合理的方案。 三、赋分标准（满分9分） ①服务质量保证措施：此评审项满分3分，每完全满足一个评审标准得1分；针对每条评审标准，如存在不合理的方面，得0.5分；针对每条评审标准，方案内容与本项目无关或未提供的，得0分。 ②维护人员安全管理保障措施：此评审项满分3分，每完全满足一个评审标准得1分；针对每条评审标准，如存在不合理的方面，得0.5分；针对每条评审标准，方案内容与本项目无关或未提供的，得0分。 ③服务进度保障措施：此评审项满分3分，每完全满足一个评审标准得1分；针对每条评审标准，如存在不合理的方面，得0.5分；针对每条评审标准，方案内容与本项目无关或未提供的，得0分。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①内控制度：具有管理组织机构、问责机制、监督机制、自查制度等制度； ②现场管理制度：工作流程、安全检查、保养、检修制度等。 二、评审标准 1、完整性：方案必须全面，对评审内容中的各项要求有详细描述； 2、针对性：方案能够紧扣项目实际情况，内容科学合理； 3、科学性：切合本项目实际情况，提出科学、合理的方案。 三、赋分标准（满分6分） ①内控制度：此评审项满分3分，每完全满足一个评审标准得1分；针对每条评审标准，如存在不合理的方面，得0.5分；针对每条评审标准，方案内容与本项目无关或未提供的，得0分。 ②现场管理制度：此评审项满分3分，每完全满足一个评审标准得1分；针对评审标准存在有不合理处的得0.5分；内容与本项目无关或未提供的得0分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2、针对性：方案能够紧扣项目实际情况，内容科学合理； 3、科学性：切合本项目实际情况，提出科学、合理配置的方案。 三、赋分标准（满分6分） ①人员配置方案：此评审项满分3分，每完全满足一个评审标准得1分；针对每条评审标准，如存在不合理的方面，得0.5分；针对每条评审标准，方案内容与本项目无关或未提供的，得0分。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针对采购内容提出适用于本项目的重难点分析及有相应的解决方案。 二、评审标准 1、完整性：方案必须全面，对评审内容中的各项要求有详细描述； 2、针对性：方案能够紧扣项目实际情况，内容科学合理； 3、可实施性：切合本项目实际情况，提出步骤清晰、合理的方案。 三、赋分标准（满分3分） 重难点分析：此评审项满分3分，每完全满足一个评审标准得1分；针对每条评审标准，如存在不合理的方面，得0.5分；针对每条评审标准，方案内容与本项目无关或未提供的，得0分。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针对采购内容提出适用于本项目的应急方案，包括①灯杆倾倒应急预案；②线路损坏成片熄灯应急预案；③采购人重大活动活动或重大节假日的相关维护应急预案。 二、评审标准 1、完整性：方案必须全面，对评审内容中的各项要求有详细描述； 2、针对性：方案能够紧扣项目实际情况，内容科学合理； 3、可实施性：切合本项目实际情况，提出步骤清晰、合理的方案。 三、赋分标准（满分9分） ①灯杆倾倒应急预案：此评审项满分3分，每完全满足一个评审标准得1分；针对每条评审标准，如存在不合理的方面，得0.5分；针对每条评审标准，方案内容与本项目无关或未提供的，得0分。 ②线路损坏成片熄灯应急预案：此评审项满分3分，每完全满足一个评审标准得1分；针对每条评审标准，如存在不合理的方面，得0.5分；针对每条评审标准，方案内容与本项目无关或未提供的，得0分。 ③采购人重大活动活动或重大节假日的相关维护应急预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方案包括：①对采购内容的服务一致性、维护期内团队稳定性等做出承诺；②对配合人采购人相关工作做出承诺；③针对采购人的其他任务及情况的处理的专项承诺；④对服务期内应急情况下的响应时间等做出承诺。 二、评审标准 1、完整性：方案必须全面，对评审内容中的各项要求有详细描述； 2、针对性：方案能够紧扣项目实际情况，内容科学合理； 3、可实施性：切合本项目实际情况，提出步骤清晰、合理的方案。 三、赋分标准（满分12分） ①对采购内容的服务一致性、维护期内团队稳定性等做出承诺：此评审项满分3分，每完全满足一个评审标准得1分；针对每条评审标准，如存在不合理的方面，得0.5分；针对每条评审标准，方案内容与本项目无关或未提供的，得0分。 ②对配合人采购人相关工作做出承诺：每完全满足一个评审标准得1分；针对评审标准存在有不合理处的得0.5分；内容与本项目无关或未提供的得0分； ③针对采购人的其他任务及情况的处理的专项承诺：每完全满足一个评审标准得1分；针对评审标准存在有不合理处的得0.5分；内容与本项目无关或未提供的得0分； ④对服务期内应急情况下的响应时间等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照明器具的产品来源渠道证明材料，包括但不限于授权书（或代理证书、承诺书）或销售协议等，提供相关证明材料的得3分，供应商为制造商的直接得3分，供应商未提供的不得分。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提供产品为节能产品或环境标志产品的，每提供一个得2分，需提供经国家确定的认证机构出具的、处于有效期之内的节能产品、环境标志产品认证证书复印件。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供应商近年类似项目业绩（2021年1月1日至今，以合同签订时间为准），每个业绩得3分，最高得15分（须提供合同复印件并加盖供应商公章）。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服务信誉</w:t>
            </w:r>
          </w:p>
        </w:tc>
        <w:tc>
          <w:tcPr>
            <w:tcW w:type="dxa" w:w="2492"/>
          </w:tcPr>
          <w:p>
            <w:pPr>
              <w:pStyle w:val="null3"/>
            </w:pPr>
            <w:r>
              <w:rPr>
                <w:rFonts w:ascii="仿宋_GB2312" w:hAnsi="仿宋_GB2312" w:cs="仿宋_GB2312" w:eastAsia="仿宋_GB2312"/>
              </w:rPr>
              <w:t>供应商提供近年（自2021年1月1日起至今）同类维护项目甲方评价意见，评价为合格（不含）以上正面评价的，每提供一个得2分，最高4分。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