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9979F">
      <w:pPr>
        <w:pStyle w:val="2"/>
        <w:keepNext w:val="0"/>
        <w:keepLines w:val="0"/>
        <w:numPr>
          <w:ilvl w:val="0"/>
          <w:numId w:val="0"/>
        </w:numPr>
        <w:ind w:left="0" w:leftChars="0" w:firstLine="0" w:firstLineChars="0"/>
        <w:jc w:val="center"/>
        <w:outlineLvl w:val="0"/>
        <w:rPr>
          <w:rFonts w:hint="eastAsia" w:ascii="仿宋" w:hAnsi="仿宋" w:eastAsia="仿宋" w:cs="仿宋"/>
          <w:color w:val="auto"/>
          <w:sz w:val="32"/>
          <w:szCs w:val="32"/>
          <w:highlight w:val="none"/>
        </w:rPr>
      </w:pPr>
      <w:bookmarkStart w:id="0" w:name="_Toc19302"/>
      <w:r>
        <w:rPr>
          <w:rFonts w:hint="eastAsia" w:ascii="宋体" w:hAnsi="宋体" w:eastAsia="宋体" w:cs="Times New Roman"/>
          <w:b/>
          <w:bCs/>
          <w:color w:val="000000"/>
          <w:sz w:val="32"/>
          <w:szCs w:val="32"/>
        </w:rPr>
        <w:t>合同主要条款</w:t>
      </w:r>
      <w:bookmarkEnd w:id="0"/>
    </w:p>
    <w:p w14:paraId="24AF4594">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甲方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采购人）</w:t>
      </w:r>
      <w:r>
        <w:rPr>
          <w:rFonts w:hint="eastAsia" w:ascii="仿宋" w:hAnsi="仿宋" w:eastAsia="仿宋" w:cs="仿宋"/>
          <w:sz w:val="24"/>
          <w:szCs w:val="24"/>
        </w:rPr>
        <w:t>：</w:t>
      </w:r>
      <w:r>
        <w:rPr>
          <w:rFonts w:hint="eastAsia" w:ascii="仿宋" w:hAnsi="仿宋" w:eastAsia="仿宋" w:cs="仿宋"/>
          <w:sz w:val="24"/>
          <w:szCs w:val="24"/>
          <w:u w:val="single"/>
          <w:lang w:eastAsia="zh-CN"/>
        </w:rPr>
        <w:t>西安市</w:t>
      </w:r>
      <w:r>
        <w:rPr>
          <w:rFonts w:hint="eastAsia" w:ascii="仿宋" w:hAnsi="仿宋" w:eastAsia="仿宋" w:cs="仿宋"/>
          <w:sz w:val="24"/>
          <w:szCs w:val="24"/>
          <w:u w:val="single"/>
          <w:lang w:val="en-US" w:eastAsia="zh-CN"/>
        </w:rPr>
        <w:t>雁塔</w:t>
      </w:r>
      <w:r>
        <w:rPr>
          <w:rFonts w:hint="eastAsia" w:ascii="仿宋" w:hAnsi="仿宋" w:eastAsia="仿宋" w:cs="仿宋"/>
          <w:sz w:val="24"/>
          <w:szCs w:val="24"/>
          <w:u w:val="single"/>
          <w:lang w:eastAsia="zh-CN"/>
        </w:rPr>
        <w:t>区人民法院</w:t>
      </w:r>
    </w:p>
    <w:p w14:paraId="742ED2FB">
      <w:pPr>
        <w:spacing w:line="360" w:lineRule="auto"/>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成交供应商）</w:t>
      </w:r>
      <w:r>
        <w:rPr>
          <w:rFonts w:hint="eastAsia" w:ascii="仿宋" w:hAnsi="仿宋" w:eastAsia="仿宋" w:cs="仿宋"/>
          <w:b w:val="0"/>
          <w:bCs w:val="0"/>
          <w:sz w:val="24"/>
          <w:szCs w:val="24"/>
          <w:u w:val="single"/>
          <w:lang w:val="en-US" w:eastAsia="zh-CN"/>
        </w:rPr>
        <w:t>中国邮政速递物流股份有限公司西安市分公司</w:t>
      </w:r>
    </w:p>
    <w:p w14:paraId="469B8D59">
      <w:pPr>
        <w:widowControl/>
        <w:adjustRightInd w:val="0"/>
        <w:snapToGrid w:val="0"/>
        <w:spacing w:line="360" w:lineRule="auto"/>
        <w:ind w:right="0" w:rightChars="0" w:firstLine="480" w:firstLineChars="200"/>
        <w:jc w:val="left"/>
        <w:rPr>
          <w:rFonts w:hint="eastAsia" w:ascii="仿宋" w:hAnsi="仿宋" w:eastAsia="仿宋" w:cs="仿宋"/>
          <w:color w:val="auto"/>
          <w:kern w:val="0"/>
          <w:sz w:val="24"/>
          <w:szCs w:val="24"/>
          <w:highlight w:val="none"/>
          <w:u w:val="none" w:color="000000"/>
          <w:shd w:val="clear" w:color="auto" w:fill="auto"/>
        </w:rPr>
      </w:pPr>
      <w:bookmarkStart w:id="1" w:name="_Toc8932"/>
      <w:bookmarkStart w:id="2" w:name="_Toc244416560"/>
      <w:r>
        <w:rPr>
          <w:rFonts w:hint="eastAsia" w:ascii="仿宋" w:hAnsi="仿宋" w:eastAsia="仿宋" w:cs="仿宋"/>
          <w:sz w:val="24"/>
          <w:szCs w:val="24"/>
          <w:highlight w:val="none"/>
        </w:rPr>
        <w:t>依据《中华人民共和国</w:t>
      </w:r>
      <w:r>
        <w:rPr>
          <w:rFonts w:hint="eastAsia" w:ascii="仿宋" w:hAnsi="仿宋" w:eastAsia="仿宋" w:cs="仿宋"/>
          <w:sz w:val="24"/>
          <w:szCs w:val="24"/>
          <w:highlight w:val="none"/>
          <w:lang w:val="en-US" w:eastAsia="zh-CN"/>
        </w:rPr>
        <w:t>民法典</w:t>
      </w:r>
      <w:r>
        <w:rPr>
          <w:rFonts w:hint="eastAsia" w:ascii="仿宋" w:hAnsi="仿宋" w:eastAsia="仿宋" w:cs="仿宋"/>
          <w:sz w:val="24"/>
          <w:szCs w:val="24"/>
          <w:highlight w:val="none"/>
        </w:rPr>
        <w:t>》和《中华人民共和国政府采购法》，经双方协商按下述条款和条件签署本合同。</w:t>
      </w:r>
    </w:p>
    <w:p w14:paraId="5601D471">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rPr>
      </w:pPr>
      <w:r>
        <w:rPr>
          <w:rFonts w:hint="eastAsia"/>
        </w:rPr>
        <w:t>第一条、合同标的物内容及数量</w:t>
      </w:r>
      <w:bookmarkEnd w:id="1"/>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3196"/>
        <w:gridCol w:w="2517"/>
        <w:gridCol w:w="1059"/>
        <w:gridCol w:w="919"/>
        <w:gridCol w:w="965"/>
      </w:tblGrid>
      <w:tr w14:paraId="3E7E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77" w:type="dxa"/>
            <w:noWrap w:val="0"/>
            <w:vAlign w:val="center"/>
          </w:tcPr>
          <w:p w14:paraId="113C10C9">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序号</w:t>
            </w:r>
          </w:p>
        </w:tc>
        <w:tc>
          <w:tcPr>
            <w:tcW w:w="3196" w:type="dxa"/>
            <w:noWrap w:val="0"/>
            <w:vAlign w:val="center"/>
          </w:tcPr>
          <w:p w14:paraId="114A3455">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服务名称</w:t>
            </w:r>
          </w:p>
        </w:tc>
        <w:tc>
          <w:tcPr>
            <w:tcW w:w="2517" w:type="dxa"/>
            <w:noWrap w:val="0"/>
            <w:vAlign w:val="center"/>
          </w:tcPr>
          <w:p w14:paraId="5C63CE5A">
            <w:pPr>
              <w:tabs>
                <w:tab w:val="left" w:pos="480"/>
              </w:tabs>
              <w:spacing w:line="360" w:lineRule="auto"/>
              <w:jc w:val="center"/>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服务内容</w:t>
            </w:r>
          </w:p>
        </w:tc>
        <w:tc>
          <w:tcPr>
            <w:tcW w:w="1059" w:type="dxa"/>
            <w:noWrap w:val="0"/>
            <w:vAlign w:val="center"/>
          </w:tcPr>
          <w:p w14:paraId="42DA7ED2">
            <w:pPr>
              <w:tabs>
                <w:tab w:val="left" w:pos="480"/>
              </w:tabs>
              <w:spacing w:line="360" w:lineRule="auto"/>
              <w:jc w:val="center"/>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lang w:val="en-US" w:eastAsia="zh-CN"/>
              </w:rPr>
              <w:t>综合</w:t>
            </w:r>
            <w:r>
              <w:rPr>
                <w:rFonts w:hint="eastAsia" w:ascii="仿宋" w:hAnsi="仿宋" w:eastAsia="仿宋" w:cs="仿宋"/>
                <w:color w:val="000000"/>
                <w:spacing w:val="-20"/>
                <w:kern w:val="0"/>
                <w:sz w:val="24"/>
                <w:szCs w:val="24"/>
                <w:highlight w:val="none"/>
              </w:rPr>
              <w:t>单价</w:t>
            </w:r>
          </w:p>
        </w:tc>
        <w:tc>
          <w:tcPr>
            <w:tcW w:w="919" w:type="dxa"/>
            <w:noWrap w:val="0"/>
            <w:vAlign w:val="center"/>
          </w:tcPr>
          <w:p w14:paraId="24C82A1E">
            <w:pPr>
              <w:tabs>
                <w:tab w:val="left" w:pos="480"/>
              </w:tabs>
              <w:spacing w:line="360" w:lineRule="auto"/>
              <w:jc w:val="center"/>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数量</w:t>
            </w:r>
          </w:p>
        </w:tc>
        <w:tc>
          <w:tcPr>
            <w:tcW w:w="965" w:type="dxa"/>
            <w:noWrap w:val="0"/>
            <w:vAlign w:val="center"/>
          </w:tcPr>
          <w:p w14:paraId="61C2D62F">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总价</w:t>
            </w:r>
          </w:p>
        </w:tc>
      </w:tr>
      <w:tr w14:paraId="3B308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noWrap w:val="0"/>
            <w:vAlign w:val="center"/>
          </w:tcPr>
          <w:p w14:paraId="74387E67">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1</w:t>
            </w:r>
          </w:p>
        </w:tc>
        <w:tc>
          <w:tcPr>
            <w:tcW w:w="3196" w:type="dxa"/>
            <w:noWrap w:val="0"/>
            <w:vAlign w:val="center"/>
          </w:tcPr>
          <w:p w14:paraId="6F417784">
            <w:pPr>
              <w:tabs>
                <w:tab w:val="left" w:pos="480"/>
              </w:tabs>
              <w:spacing w:line="360" w:lineRule="auto"/>
              <w:jc w:val="center"/>
              <w:rPr>
                <w:rFonts w:hint="eastAsia" w:ascii="仿宋" w:hAnsi="仿宋" w:eastAsia="仿宋" w:cs="仿宋"/>
                <w:color w:val="000000"/>
                <w:spacing w:val="0"/>
                <w:kern w:val="0"/>
                <w:sz w:val="24"/>
                <w:szCs w:val="24"/>
              </w:rPr>
            </w:pPr>
            <w:r>
              <w:rPr>
                <w:rFonts w:hint="eastAsia" w:ascii="仿宋" w:hAnsi="仿宋" w:eastAsia="仿宋" w:cs="仿宋"/>
                <w:color w:val="000000"/>
                <w:spacing w:val="0"/>
                <w:kern w:val="0"/>
                <w:sz w:val="24"/>
                <w:szCs w:val="24"/>
                <w:lang w:eastAsia="zh-CN"/>
              </w:rPr>
              <w:t>西安市雁塔区人民法院集约送达服务</w:t>
            </w:r>
          </w:p>
        </w:tc>
        <w:tc>
          <w:tcPr>
            <w:tcW w:w="2517" w:type="dxa"/>
            <w:noWrap w:val="0"/>
            <w:vAlign w:val="center"/>
          </w:tcPr>
          <w:p w14:paraId="1D9FE59C">
            <w:pPr>
              <w:tabs>
                <w:tab w:val="left" w:pos="480"/>
              </w:tabs>
              <w:spacing w:line="360" w:lineRule="auto"/>
              <w:jc w:val="center"/>
              <w:rPr>
                <w:rFonts w:hint="default" w:ascii="仿宋" w:hAnsi="仿宋" w:eastAsia="仿宋" w:cs="仿宋"/>
                <w:color w:val="000000"/>
                <w:spacing w:val="0"/>
                <w:kern w:val="0"/>
                <w:sz w:val="24"/>
                <w:szCs w:val="24"/>
                <w:lang w:val="en-US" w:eastAsia="zh-CN"/>
              </w:rPr>
            </w:pPr>
            <w:r>
              <w:rPr>
                <w:rFonts w:hint="eastAsia" w:ascii="仿宋" w:hAnsi="仿宋" w:eastAsia="仿宋" w:cs="仿宋"/>
                <w:color w:val="000000"/>
                <w:spacing w:val="0"/>
                <w:kern w:val="0"/>
                <w:sz w:val="24"/>
                <w:szCs w:val="24"/>
                <w:lang w:val="en-US" w:eastAsia="zh-CN"/>
              </w:rPr>
              <w:t>详见采购需求</w:t>
            </w:r>
          </w:p>
        </w:tc>
        <w:tc>
          <w:tcPr>
            <w:tcW w:w="1059" w:type="dxa"/>
            <w:noWrap w:val="0"/>
            <w:vAlign w:val="center"/>
          </w:tcPr>
          <w:p w14:paraId="41F817B4">
            <w:pPr>
              <w:tabs>
                <w:tab w:val="left" w:pos="480"/>
              </w:tabs>
              <w:spacing w:line="360" w:lineRule="auto"/>
              <w:jc w:val="center"/>
              <w:rPr>
                <w:rFonts w:hint="eastAsia" w:ascii="仿宋" w:hAnsi="仿宋" w:eastAsia="仿宋" w:cs="仿宋"/>
                <w:color w:val="000000"/>
                <w:spacing w:val="-20"/>
                <w:kern w:val="0"/>
                <w:sz w:val="24"/>
                <w:szCs w:val="24"/>
              </w:rPr>
            </w:pPr>
          </w:p>
        </w:tc>
        <w:tc>
          <w:tcPr>
            <w:tcW w:w="919" w:type="dxa"/>
            <w:noWrap w:val="0"/>
            <w:vAlign w:val="center"/>
          </w:tcPr>
          <w:p w14:paraId="3EB59FA6">
            <w:pPr>
              <w:tabs>
                <w:tab w:val="left" w:pos="480"/>
              </w:tabs>
              <w:spacing w:line="360" w:lineRule="auto"/>
              <w:jc w:val="center"/>
              <w:rPr>
                <w:rFonts w:hint="eastAsia" w:ascii="仿宋" w:hAnsi="仿宋" w:eastAsia="仿宋" w:cs="仿宋"/>
                <w:color w:val="000000"/>
                <w:spacing w:val="-20"/>
                <w:kern w:val="0"/>
                <w:sz w:val="24"/>
                <w:szCs w:val="24"/>
              </w:rPr>
            </w:pPr>
          </w:p>
        </w:tc>
        <w:tc>
          <w:tcPr>
            <w:tcW w:w="965" w:type="dxa"/>
            <w:noWrap w:val="0"/>
            <w:vAlign w:val="center"/>
          </w:tcPr>
          <w:p w14:paraId="7019AA70">
            <w:pPr>
              <w:tabs>
                <w:tab w:val="left" w:pos="480"/>
              </w:tabs>
              <w:spacing w:line="360" w:lineRule="auto"/>
              <w:jc w:val="center"/>
              <w:rPr>
                <w:rFonts w:hint="eastAsia" w:ascii="仿宋" w:hAnsi="仿宋" w:eastAsia="仿宋" w:cs="仿宋"/>
                <w:color w:val="000000"/>
                <w:spacing w:val="-20"/>
                <w:kern w:val="0"/>
                <w:sz w:val="24"/>
                <w:szCs w:val="24"/>
              </w:rPr>
            </w:pPr>
          </w:p>
        </w:tc>
      </w:tr>
      <w:tr w14:paraId="28DDA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noWrap w:val="0"/>
            <w:vAlign w:val="center"/>
          </w:tcPr>
          <w:p w14:paraId="28FE3A92">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合计</w:t>
            </w:r>
          </w:p>
        </w:tc>
        <w:tc>
          <w:tcPr>
            <w:tcW w:w="8656" w:type="dxa"/>
            <w:gridSpan w:val="5"/>
            <w:noWrap w:val="0"/>
            <w:vAlign w:val="center"/>
          </w:tcPr>
          <w:p w14:paraId="22E6F8AE">
            <w:pPr>
              <w:tabs>
                <w:tab w:val="left" w:pos="480"/>
              </w:tabs>
              <w:spacing w:line="360" w:lineRule="auto"/>
              <w:jc w:val="center"/>
              <w:rPr>
                <w:rFonts w:hint="eastAsia" w:ascii="仿宋" w:hAnsi="仿宋" w:eastAsia="仿宋" w:cs="仿宋"/>
                <w:color w:val="000000"/>
                <w:spacing w:val="-20"/>
                <w:kern w:val="0"/>
                <w:sz w:val="24"/>
                <w:szCs w:val="24"/>
              </w:rPr>
            </w:pPr>
          </w:p>
        </w:tc>
      </w:tr>
    </w:tbl>
    <w:p w14:paraId="2ABD4D7C">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3" w:name="_Toc29769"/>
      <w:r>
        <w:rPr>
          <w:rFonts w:hint="eastAsia" w:cs="Times New Roman"/>
        </w:rPr>
        <w:t>第二条、服务条件</w:t>
      </w:r>
      <w:bookmarkEnd w:id="3"/>
    </w:p>
    <w:p w14:paraId="3D99C72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（一</w:t>
      </w:r>
      <w:r>
        <w:rPr>
          <w:rFonts w:hint="eastAsia" w:ascii="仿宋" w:hAnsi="仿宋" w:eastAsia="仿宋" w:cs="仿宋"/>
          <w:sz w:val="24"/>
          <w:szCs w:val="24"/>
          <w:highlight w:val="none"/>
        </w:rPr>
        <w:t>）服务地点：甲方指定地点。</w:t>
      </w:r>
    </w:p>
    <w:p w14:paraId="7121254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（二）服务期：</w:t>
      </w:r>
      <w:r>
        <w:rPr>
          <w:rFonts w:hint="eastAsia" w:ascii="仿宋" w:hAnsi="仿宋" w:eastAsia="仿宋" w:cs="仿宋"/>
          <w:sz w:val="24"/>
          <w:szCs w:val="24"/>
          <w:highlight w:val="none"/>
          <w:lang w:val="en-US" w:eastAsia="zh-CN"/>
        </w:rPr>
        <w:t>合同签订之日起1年</w:t>
      </w:r>
      <w:r>
        <w:rPr>
          <w:rFonts w:hint="eastAsia" w:ascii="仿宋" w:hAnsi="仿宋" w:eastAsia="仿宋" w:cs="仿宋"/>
          <w:sz w:val="24"/>
          <w:szCs w:val="24"/>
          <w:highlight w:val="none"/>
        </w:rPr>
        <w:t>。</w:t>
      </w:r>
    </w:p>
    <w:bookmarkEnd w:id="2"/>
    <w:p w14:paraId="0A2FAAE9">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highlight w:val="none"/>
        </w:rPr>
      </w:pPr>
      <w:bookmarkStart w:id="4" w:name="_Toc244416561"/>
      <w:bookmarkStart w:id="5" w:name="_Toc28142"/>
      <w:r>
        <w:rPr>
          <w:rFonts w:hint="eastAsia" w:cs="Times New Roman"/>
          <w:highlight w:val="none"/>
        </w:rPr>
        <w:t>第三条、</w:t>
      </w:r>
      <w:bookmarkEnd w:id="4"/>
      <w:r>
        <w:rPr>
          <w:rFonts w:hint="eastAsia" w:cs="Times New Roman"/>
          <w:highlight w:val="none"/>
        </w:rPr>
        <w:t>合同价款、付款方式及比例</w:t>
      </w:r>
      <w:bookmarkEnd w:id="5"/>
    </w:p>
    <w:p w14:paraId="23BAB8A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（一）合同价款</w:t>
      </w:r>
    </w:p>
    <w:p w14:paraId="43DFBD9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w:t>
      </w:r>
      <w:r>
        <w:rPr>
          <w:rFonts w:hint="eastAsia" w:ascii="仿宋" w:hAnsi="仿宋" w:eastAsia="仿宋" w:cs="仿宋"/>
          <w:sz w:val="24"/>
          <w:szCs w:val="24"/>
          <w:highlight w:val="none"/>
          <w:lang w:val="en-US" w:eastAsia="zh-CN"/>
        </w:rPr>
        <w:t>综合单价</w:t>
      </w:r>
      <w:r>
        <w:rPr>
          <w:rFonts w:hint="eastAsia" w:ascii="仿宋" w:hAnsi="仿宋" w:eastAsia="仿宋" w:cs="仿宋"/>
          <w:sz w:val="24"/>
          <w:szCs w:val="24"/>
          <w:highlight w:val="none"/>
        </w:rPr>
        <w:t>为人民币</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元。合同</w:t>
      </w:r>
      <w:r>
        <w:rPr>
          <w:rFonts w:hint="eastAsia" w:ascii="仿宋" w:hAnsi="仿宋" w:eastAsia="仿宋" w:cs="仿宋"/>
          <w:sz w:val="24"/>
          <w:szCs w:val="24"/>
          <w:highlight w:val="none"/>
          <w:lang w:val="en-US" w:eastAsia="zh-CN"/>
        </w:rPr>
        <w:t>综合单价</w:t>
      </w:r>
      <w:r>
        <w:rPr>
          <w:rFonts w:hint="eastAsia" w:ascii="仿宋" w:hAnsi="仿宋" w:eastAsia="仿宋" w:cs="仿宋"/>
          <w:sz w:val="24"/>
          <w:szCs w:val="24"/>
          <w:highlight w:val="none"/>
        </w:rPr>
        <w:t>一次性包死，不受市场价格变化因素的影响。</w:t>
      </w:r>
    </w:p>
    <w:p w14:paraId="11F5B80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（二）付款方式</w:t>
      </w:r>
    </w:p>
    <w:p w14:paraId="4D04D697">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合同签订后预付合同总金额的50%，按件据实结算,结算金额超出预付金额后，开始按月据实结算剩余合同金额</w:t>
      </w:r>
      <w:r>
        <w:rPr>
          <w:rFonts w:hint="eastAsia" w:ascii="仿宋" w:hAnsi="仿宋" w:eastAsia="仿宋" w:cs="仿宋"/>
          <w:sz w:val="24"/>
          <w:szCs w:val="24"/>
          <w:highlight w:val="none"/>
          <w:lang w:eastAsia="zh-CN"/>
        </w:rPr>
        <w:t>。</w:t>
      </w:r>
    </w:p>
    <w:p w14:paraId="262BF08B">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highlight w:val="none"/>
        </w:rPr>
      </w:pPr>
      <w:bookmarkStart w:id="6" w:name="_Toc5939"/>
      <w:r>
        <w:rPr>
          <w:rFonts w:hint="eastAsia" w:cs="Times New Roman"/>
          <w:highlight w:val="none"/>
        </w:rPr>
        <w:t>第四条、验收标准及方法</w:t>
      </w:r>
      <w:bookmarkEnd w:id="6"/>
    </w:p>
    <w:p w14:paraId="5AADE8D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（一）乙方完成并交付的工作成果需经甲方验收合格，则视为接受。如果在验收时甲方表明不接受乙方提交的工作成果并明示不接受的原因，乙方应当采取合理之措施进行修改，以达到合同规定的要求。</w:t>
      </w:r>
    </w:p>
    <w:p w14:paraId="3A2072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（二）验收依据</w:t>
      </w:r>
    </w:p>
    <w:p w14:paraId="69B0023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1、本合同及附件文本所约定的验收标准； </w:t>
      </w:r>
    </w:p>
    <w:p w14:paraId="250A7C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单一来源谈判</w:t>
      </w:r>
      <w:r>
        <w:rPr>
          <w:rFonts w:hint="eastAsia" w:ascii="仿宋" w:hAnsi="仿宋" w:eastAsia="仿宋" w:cs="仿宋"/>
          <w:sz w:val="24"/>
          <w:szCs w:val="24"/>
        </w:rPr>
        <w:t>文件、</w:t>
      </w:r>
      <w:r>
        <w:rPr>
          <w:rFonts w:hint="eastAsia" w:ascii="仿宋" w:hAnsi="仿宋" w:eastAsia="仿宋" w:cs="仿宋"/>
          <w:sz w:val="24"/>
          <w:szCs w:val="24"/>
          <w:lang w:val="en-US" w:eastAsia="zh-CN"/>
        </w:rPr>
        <w:t>单一来源谈判</w:t>
      </w:r>
      <w:r>
        <w:rPr>
          <w:rFonts w:hint="eastAsia" w:ascii="仿宋" w:hAnsi="仿宋" w:eastAsia="仿宋" w:cs="仿宋"/>
          <w:sz w:val="24"/>
          <w:szCs w:val="24"/>
        </w:rPr>
        <w:t>响应文件、澄清表（函）；</w:t>
      </w:r>
    </w:p>
    <w:p w14:paraId="0CF5FEB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3、国家相应的标准、规范。</w:t>
      </w:r>
    </w:p>
    <w:p w14:paraId="163131D4">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7" w:name="_Toc31160"/>
      <w:r>
        <w:rPr>
          <w:rFonts w:hint="eastAsia" w:cs="Times New Roman"/>
        </w:rPr>
        <w:t>第五条、质量保证</w:t>
      </w:r>
      <w:bookmarkEnd w:id="7"/>
    </w:p>
    <w:p w14:paraId="6AF281D4">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sz w:val="24"/>
          <w:szCs w:val="24"/>
          <w:u w:val="single"/>
          <w:lang w:val="en-US" w:eastAsia="zh-CN"/>
        </w:rPr>
        <w:t xml:space="preserve">                               </w:t>
      </w:r>
      <w:r>
        <w:rPr>
          <w:rFonts w:hint="eastAsia" w:ascii="仿宋" w:hAnsi="仿宋" w:eastAsia="仿宋" w:cs="仿宋"/>
          <w:color w:val="auto"/>
          <w:sz w:val="24"/>
          <w:szCs w:val="24"/>
          <w:highlight w:val="none"/>
        </w:rPr>
        <w:t>。</w:t>
      </w:r>
    </w:p>
    <w:p w14:paraId="1CFA1FA5">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8" w:name="_Toc5209"/>
      <w:r>
        <w:rPr>
          <w:rFonts w:hint="eastAsia" w:cs="Times New Roman"/>
        </w:rPr>
        <w:t>第六条、双方的权利和义务</w:t>
      </w:r>
      <w:bookmarkEnd w:id="8"/>
    </w:p>
    <w:p w14:paraId="52727C7A">
      <w:pPr>
        <w:tabs>
          <w:tab w:val="left" w:pos="480"/>
        </w:tabs>
        <w:spacing w:before="249" w:beforeLines="50" w:after="249" w:afterLines="50" w:line="360" w:lineRule="auto"/>
        <w:ind w:firstLine="480" w:firstLineChars="200"/>
        <w:outlineLvl w:val="1"/>
        <w:rPr>
          <w:rFonts w:hint="eastAsia" w:ascii="仿宋" w:hAnsi="仿宋" w:eastAsia="仿宋" w:cs="仿宋"/>
          <w:sz w:val="24"/>
          <w:szCs w:val="24"/>
        </w:rPr>
      </w:pPr>
      <w:bookmarkStart w:id="9" w:name="_Toc9815"/>
      <w:r>
        <w:rPr>
          <w:rFonts w:hint="eastAsia" w:ascii="仿宋" w:hAnsi="仿宋" w:eastAsia="仿宋" w:cs="仿宋"/>
          <w:sz w:val="24"/>
          <w:szCs w:val="24"/>
        </w:rPr>
        <w:t>（一）甲方的权利和义务</w:t>
      </w:r>
      <w:bookmarkEnd w:id="9"/>
    </w:p>
    <w:p w14:paraId="074FB7DA">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1、乙方进行现场</w:t>
      </w:r>
      <w:r>
        <w:rPr>
          <w:rFonts w:hint="eastAsia" w:ascii="仿宋" w:hAnsi="仿宋" w:eastAsia="仿宋" w:cs="仿宋"/>
          <w:sz w:val="24"/>
          <w:szCs w:val="24"/>
          <w:lang w:val="en-US" w:eastAsia="zh-CN"/>
        </w:rPr>
        <w:t>配送</w:t>
      </w:r>
      <w:r>
        <w:rPr>
          <w:rFonts w:hint="eastAsia" w:ascii="仿宋" w:hAnsi="仿宋" w:eastAsia="仿宋" w:cs="仿宋"/>
          <w:sz w:val="24"/>
          <w:szCs w:val="24"/>
        </w:rPr>
        <w:t>时，甲方为乙方工作提供便利。</w:t>
      </w:r>
    </w:p>
    <w:p w14:paraId="26D573B8">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2、在甲方安全规定允许的前提下，为乙方的人员能够顺利到达</w:t>
      </w:r>
      <w:r>
        <w:rPr>
          <w:rFonts w:hint="eastAsia" w:ascii="仿宋" w:hAnsi="仿宋" w:eastAsia="仿宋" w:cs="仿宋"/>
          <w:sz w:val="24"/>
          <w:szCs w:val="24"/>
          <w:lang w:val="en-US" w:eastAsia="zh-CN"/>
        </w:rPr>
        <w:t>配送</w:t>
      </w:r>
      <w:r>
        <w:rPr>
          <w:rFonts w:hint="eastAsia" w:ascii="仿宋" w:hAnsi="仿宋" w:eastAsia="仿宋" w:cs="仿宋"/>
          <w:sz w:val="24"/>
          <w:szCs w:val="24"/>
        </w:rPr>
        <w:t>现场提供方便。</w:t>
      </w:r>
    </w:p>
    <w:p w14:paraId="6FE22E68">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3、甲方按照乙方的指导进行非现场维护操作。</w:t>
      </w:r>
    </w:p>
    <w:p w14:paraId="78D600A2">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4、甲方及时将本合同下维保范围内出现的故障情况通知乙方，乙方负责做好故障有关资料的记录工作。</w:t>
      </w:r>
    </w:p>
    <w:p w14:paraId="612D93C0">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5、应乙方</w:t>
      </w:r>
      <w:r>
        <w:rPr>
          <w:rFonts w:hint="eastAsia" w:ascii="仿宋" w:hAnsi="仿宋" w:eastAsia="仿宋" w:cs="仿宋"/>
          <w:sz w:val="24"/>
          <w:szCs w:val="24"/>
          <w:lang w:val="en-US" w:eastAsia="zh-CN"/>
        </w:rPr>
        <w:t>配送</w:t>
      </w:r>
      <w:r>
        <w:rPr>
          <w:rFonts w:hint="eastAsia" w:ascii="仿宋" w:hAnsi="仿宋" w:eastAsia="仿宋" w:cs="仿宋"/>
          <w:sz w:val="24"/>
          <w:szCs w:val="24"/>
        </w:rPr>
        <w:t>要求，甲方需提供所需</w:t>
      </w:r>
      <w:r>
        <w:rPr>
          <w:rFonts w:hint="eastAsia" w:ascii="仿宋" w:hAnsi="仿宋" w:eastAsia="仿宋" w:cs="仿宋"/>
          <w:sz w:val="24"/>
          <w:szCs w:val="24"/>
          <w:lang w:val="en-US" w:eastAsia="zh-CN"/>
        </w:rPr>
        <w:t>配送</w:t>
      </w:r>
      <w:r>
        <w:rPr>
          <w:rFonts w:hint="eastAsia" w:ascii="仿宋" w:hAnsi="仿宋" w:eastAsia="仿宋" w:cs="仿宋"/>
          <w:sz w:val="24"/>
          <w:szCs w:val="24"/>
        </w:rPr>
        <w:t>服务的地点。</w:t>
      </w:r>
    </w:p>
    <w:p w14:paraId="2AD68EC9">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6、甲方有权对乙方的工作态度、技术水平进行监督和评判并提出相应的要求，乙方也会由独立的服务质量监督人员对甲方予以不定期的回访。</w:t>
      </w:r>
    </w:p>
    <w:p w14:paraId="55C7EBB8">
      <w:pPr>
        <w:tabs>
          <w:tab w:val="left" w:pos="480"/>
        </w:tabs>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7、甲方有权不定时、不定范围开展书面或口头的满意度调查，并有权向乙方反馈调查情况，乙方应听取甲方反馈的意见；形成书面调查表并加盖有部门以上印章的，可以作为扣除款项的依据。</w:t>
      </w:r>
    </w:p>
    <w:p w14:paraId="2D6EC602">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bCs/>
          <w:sz w:val="24"/>
          <w:szCs w:val="24"/>
        </w:rPr>
        <w:t>8、</w:t>
      </w:r>
      <w:r>
        <w:rPr>
          <w:rFonts w:hint="eastAsia" w:ascii="仿宋" w:hAnsi="仿宋" w:eastAsia="仿宋" w:cs="仿宋"/>
          <w:sz w:val="24"/>
          <w:szCs w:val="24"/>
        </w:rPr>
        <w:t>在项目实施过程中，如甲方发现某项目组成员不能满足工作要求，甲方有权要求乙方进行人员调整。</w:t>
      </w:r>
    </w:p>
    <w:p w14:paraId="487F71F3">
      <w:pPr>
        <w:tabs>
          <w:tab w:val="left" w:pos="480"/>
        </w:tabs>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9、在项目实施过程中发生的人身及财产损失由乙方负责，甲方不承担任何责任。</w:t>
      </w:r>
    </w:p>
    <w:p w14:paraId="0F7F0B73">
      <w:pPr>
        <w:tabs>
          <w:tab w:val="left" w:pos="480"/>
        </w:tabs>
        <w:spacing w:before="249" w:beforeLines="50" w:after="249" w:afterLines="50" w:line="360" w:lineRule="auto"/>
        <w:ind w:firstLine="480" w:firstLineChars="200"/>
        <w:outlineLvl w:val="1"/>
        <w:rPr>
          <w:rFonts w:hint="eastAsia" w:ascii="仿宋" w:hAnsi="仿宋" w:eastAsia="仿宋" w:cs="仿宋"/>
          <w:sz w:val="24"/>
          <w:szCs w:val="24"/>
        </w:rPr>
      </w:pPr>
      <w:bookmarkStart w:id="10" w:name="_Toc4456"/>
      <w:r>
        <w:rPr>
          <w:rFonts w:hint="eastAsia" w:ascii="仿宋" w:hAnsi="仿宋" w:eastAsia="仿宋" w:cs="仿宋"/>
          <w:sz w:val="24"/>
          <w:szCs w:val="24"/>
        </w:rPr>
        <w:t>（二）乙方的权利和义务</w:t>
      </w:r>
      <w:bookmarkEnd w:id="10"/>
    </w:p>
    <w:p w14:paraId="25B261B2">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1、乙方确保提供</w:t>
      </w:r>
      <w:r>
        <w:rPr>
          <w:rFonts w:hint="eastAsia" w:ascii="仿宋" w:hAnsi="仿宋" w:eastAsia="仿宋" w:cs="仿宋"/>
          <w:sz w:val="24"/>
          <w:szCs w:val="24"/>
          <w:lang w:val="en-US" w:eastAsia="zh-CN"/>
        </w:rPr>
        <w:t>配送</w:t>
      </w:r>
      <w:r>
        <w:rPr>
          <w:rFonts w:hint="eastAsia" w:ascii="仿宋" w:hAnsi="仿宋" w:eastAsia="仿宋" w:cs="仿宋"/>
          <w:sz w:val="24"/>
          <w:szCs w:val="24"/>
        </w:rPr>
        <w:t>服务的</w:t>
      </w:r>
      <w:r>
        <w:rPr>
          <w:rFonts w:hint="eastAsia" w:ascii="仿宋" w:hAnsi="仿宋" w:eastAsia="仿宋" w:cs="仿宋"/>
          <w:sz w:val="24"/>
          <w:szCs w:val="24"/>
          <w:lang w:val="en-US" w:eastAsia="zh-CN"/>
        </w:rPr>
        <w:t>顺利进行，</w:t>
      </w:r>
      <w:r>
        <w:rPr>
          <w:rFonts w:hint="eastAsia" w:ascii="仿宋" w:hAnsi="仿宋" w:eastAsia="仿宋" w:cs="仿宋"/>
          <w:sz w:val="24"/>
          <w:szCs w:val="24"/>
        </w:rPr>
        <w:t>全面满足甲方要求。</w:t>
      </w:r>
    </w:p>
    <w:p w14:paraId="02BF1808">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2、乙方为甲方提供定期巡检，做好预防性维护。</w:t>
      </w:r>
    </w:p>
    <w:p w14:paraId="3AD359D7">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3、乙方进入甲方</w:t>
      </w:r>
      <w:r>
        <w:rPr>
          <w:rFonts w:hint="eastAsia" w:ascii="仿宋" w:hAnsi="仿宋" w:eastAsia="仿宋" w:cs="仿宋"/>
          <w:sz w:val="24"/>
          <w:szCs w:val="24"/>
          <w:lang w:val="en-US" w:eastAsia="zh-CN"/>
        </w:rPr>
        <w:t>办公地点</w:t>
      </w:r>
      <w:r>
        <w:rPr>
          <w:rFonts w:hint="eastAsia" w:ascii="仿宋" w:hAnsi="仿宋" w:eastAsia="仿宋" w:cs="仿宋"/>
          <w:sz w:val="24"/>
          <w:szCs w:val="24"/>
        </w:rPr>
        <w:t>，必须持有甲方签发的通行证，同时遵守甲方</w:t>
      </w:r>
      <w:r>
        <w:rPr>
          <w:rFonts w:hint="eastAsia" w:ascii="仿宋" w:hAnsi="仿宋" w:eastAsia="仿宋" w:cs="仿宋"/>
          <w:sz w:val="24"/>
          <w:szCs w:val="24"/>
          <w:lang w:val="en-US" w:eastAsia="zh-CN"/>
        </w:rPr>
        <w:t>办公地点</w:t>
      </w:r>
      <w:r>
        <w:rPr>
          <w:rFonts w:hint="eastAsia" w:ascii="仿宋" w:hAnsi="仿宋" w:eastAsia="仿宋" w:cs="仿宋"/>
          <w:sz w:val="24"/>
          <w:szCs w:val="24"/>
        </w:rPr>
        <w:t>的各种规定。</w:t>
      </w:r>
    </w:p>
    <w:p w14:paraId="16C5E7D0">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4、乙方保证在甲方现场的工作人员严格按照甲方现场管理要求和工作纪律行事。</w:t>
      </w:r>
    </w:p>
    <w:p w14:paraId="1FD4610A">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、因乙方问题造成甲方的</w:t>
      </w:r>
      <w:r>
        <w:rPr>
          <w:rFonts w:hint="eastAsia" w:ascii="仿宋" w:hAnsi="仿宋" w:eastAsia="仿宋" w:cs="仿宋"/>
          <w:sz w:val="24"/>
          <w:szCs w:val="24"/>
          <w:lang w:val="en-US" w:eastAsia="zh-CN"/>
        </w:rPr>
        <w:t>物品</w:t>
      </w:r>
      <w:r>
        <w:rPr>
          <w:rFonts w:hint="eastAsia" w:ascii="仿宋" w:hAnsi="仿宋" w:eastAsia="仿宋" w:cs="仿宋"/>
          <w:sz w:val="24"/>
          <w:szCs w:val="24"/>
        </w:rPr>
        <w:t>受到损坏，乙方应负责赔偿甲方因此所遭受的全部损失。</w:t>
      </w:r>
    </w:p>
    <w:p w14:paraId="35260C1C">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、乙方应按甲方要求如期向甲方交付相关文档，如定期的巡检报告服务季度报告、现场服务单等。</w:t>
      </w:r>
    </w:p>
    <w:p w14:paraId="7ECCF5ED">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、乙方在服务过程中发现非本合同服务范围内的问题导致</w:t>
      </w:r>
      <w:r>
        <w:rPr>
          <w:rFonts w:hint="eastAsia" w:ascii="仿宋" w:hAnsi="仿宋" w:eastAsia="仿宋" w:cs="仿宋"/>
          <w:sz w:val="24"/>
          <w:szCs w:val="24"/>
          <w:lang w:val="en-US" w:eastAsia="zh-CN"/>
        </w:rPr>
        <w:t>配送失败</w:t>
      </w:r>
      <w:r>
        <w:rPr>
          <w:rFonts w:hint="eastAsia" w:ascii="仿宋" w:hAnsi="仿宋" w:eastAsia="仿宋" w:cs="仿宋"/>
          <w:sz w:val="24"/>
          <w:szCs w:val="24"/>
        </w:rPr>
        <w:t>，应及时向甲方汇报，在获得甲方的许可和费用确认后另行处理。</w:t>
      </w:r>
    </w:p>
    <w:p w14:paraId="5BE9136B">
      <w:pPr>
        <w:spacing w:line="360" w:lineRule="auto"/>
        <w:ind w:firstLine="480" w:firstLineChars="200"/>
        <w:rPr>
          <w:rFonts w:hint="eastAsia" w:ascii="仿宋" w:hAnsi="仿宋" w:eastAsia="仿宋" w:cs="仿宋"/>
          <w:sz w:val="24"/>
          <w:szCs w:val="24"/>
        </w:rPr>
      </w:pPr>
      <w:r>
        <w:rPr>
          <w:rFonts w:hint="eastAsia" w:ascii="仿宋" w:hAnsi="仿宋" w:eastAsia="仿宋" w:cs="仿宋"/>
          <w:bCs/>
          <w:sz w:val="24"/>
          <w:szCs w:val="24"/>
          <w:lang w:val="en-US" w:eastAsia="zh-CN"/>
        </w:rPr>
        <w:t>8</w:t>
      </w:r>
      <w:r>
        <w:rPr>
          <w:rFonts w:hint="eastAsia" w:ascii="仿宋" w:hAnsi="仿宋" w:eastAsia="仿宋" w:cs="仿宋"/>
          <w:bCs/>
          <w:sz w:val="24"/>
          <w:szCs w:val="24"/>
        </w:rPr>
        <w:t>、</w:t>
      </w:r>
      <w:r>
        <w:rPr>
          <w:rFonts w:hint="eastAsia" w:ascii="仿宋" w:hAnsi="仿宋" w:eastAsia="仿宋" w:cs="仿宋"/>
          <w:sz w:val="24"/>
          <w:szCs w:val="24"/>
        </w:rPr>
        <w:t>在项目实施过程中，乙方项目组成员未经甲方许可不得随意变动。乙方项目组成员如需变动，需向甲方提出书面申请，经甲方书面同意方可变动。</w:t>
      </w:r>
    </w:p>
    <w:p w14:paraId="66086D70">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1" w:name="_Toc22791"/>
      <w:r>
        <w:rPr>
          <w:rFonts w:hint="eastAsia" w:cs="Times New Roman"/>
        </w:rPr>
        <w:t>第七条、保密责任</w:t>
      </w:r>
      <w:bookmarkEnd w:id="11"/>
    </w:p>
    <w:p w14:paraId="1872C2DD">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（一）乙方应遵守国家有关保密的法律法规和行业规定，并对甲方提供的资料负有保密义务。未经甲方同意，不得将在甲方处获得的信息资料带离甲方指定的工作场所或泄露给其他单位和个人。</w:t>
      </w:r>
    </w:p>
    <w:p w14:paraId="23929BF2">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（二）甲方保护乙方的知识产权，但依据相关法定职责对外公开的除外。</w:t>
      </w:r>
    </w:p>
    <w:p w14:paraId="7A494E0B">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2" w:name="_Toc25573"/>
      <w:r>
        <w:rPr>
          <w:rFonts w:hint="eastAsia" w:cs="Times New Roman"/>
        </w:rPr>
        <w:t>第八条、违约情形及责任</w:t>
      </w:r>
      <w:bookmarkEnd w:id="12"/>
    </w:p>
    <w:p w14:paraId="73DF49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（一）</w:t>
      </w:r>
      <w:r>
        <w:rPr>
          <w:rFonts w:hint="default" w:ascii="仿宋" w:hAnsi="仿宋" w:eastAsia="仿宋" w:cs="仿宋"/>
          <w:sz w:val="24"/>
          <w:szCs w:val="24"/>
          <w:lang w:val="en-US" w:eastAsia="zh-CN"/>
        </w:rPr>
        <w:t>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w:t>
      </w:r>
    </w:p>
    <w:p w14:paraId="4AA8EE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（二）</w:t>
      </w:r>
      <w:r>
        <w:rPr>
          <w:rFonts w:hint="default" w:ascii="仿宋" w:hAnsi="仿宋" w:eastAsia="仿宋" w:cs="仿宋"/>
          <w:sz w:val="24"/>
          <w:szCs w:val="24"/>
          <w:lang w:val="en-US" w:eastAsia="zh-CN"/>
        </w:rPr>
        <w:t>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w:t>
      </w:r>
    </w:p>
    <w:p w14:paraId="001629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（三）</w:t>
      </w:r>
      <w:r>
        <w:rPr>
          <w:rFonts w:hint="default" w:ascii="仿宋" w:hAnsi="仿宋" w:eastAsia="仿宋" w:cs="仿宋"/>
          <w:sz w:val="24"/>
          <w:szCs w:val="24"/>
          <w:lang w:val="en-US" w:eastAsia="zh-CN"/>
        </w:rPr>
        <w:t>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 以谎报事实或隐瞒真相的方法来影响对方当事人在合同签订、履行过程中的行为)的，对方当事人可以书面通知违约方解除本合同；</w:t>
      </w:r>
    </w:p>
    <w:p w14:paraId="78279B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（四）</w:t>
      </w:r>
      <w:r>
        <w:rPr>
          <w:rFonts w:hint="default" w:ascii="仿宋" w:hAnsi="仿宋" w:eastAsia="仿宋" w:cs="仿宋"/>
          <w:sz w:val="24"/>
          <w:szCs w:val="24"/>
          <w:lang w:val="en-US" w:eastAsia="zh-CN"/>
        </w:rPr>
        <w:t>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562D70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（五）</w:t>
      </w:r>
      <w:r>
        <w:rPr>
          <w:rFonts w:hint="default" w:ascii="仿宋" w:hAnsi="仿宋" w:eastAsia="仿宋" w:cs="仿宋"/>
          <w:sz w:val="24"/>
          <w:szCs w:val="24"/>
          <w:lang w:val="en-US" w:eastAsia="zh-CN"/>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34EC03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（六）</w:t>
      </w:r>
      <w:r>
        <w:rPr>
          <w:rFonts w:hint="default" w:ascii="仿宋" w:hAnsi="仿宋" w:eastAsia="仿宋" w:cs="仿宋"/>
          <w:sz w:val="24"/>
          <w:szCs w:val="24"/>
          <w:lang w:val="en-US" w:eastAsia="zh-CN"/>
        </w:rPr>
        <w:t>如果出现政府采购监督管理部门在处理投诉事项期间，书面通知甲方暂停采购活动的情形，或者询问或质疑事项可能影响成交结果的，导致甲方中止履行合同的情形，均不视为甲方违约</w:t>
      </w:r>
      <w:r>
        <w:rPr>
          <w:rFonts w:hint="eastAsia" w:ascii="仿宋" w:hAnsi="仿宋" w:eastAsia="仿宋" w:cs="仿宋"/>
          <w:sz w:val="24"/>
          <w:szCs w:val="24"/>
        </w:rPr>
        <w:t>。</w:t>
      </w:r>
    </w:p>
    <w:p w14:paraId="6473D66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（七）其他违约行为，按照国家有关法规和条例承担法律责任。</w:t>
      </w:r>
    </w:p>
    <w:p w14:paraId="6FE96F0F">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3" w:name="_Toc27017"/>
      <w:r>
        <w:rPr>
          <w:rFonts w:hint="eastAsia" w:cs="Times New Roman"/>
        </w:rPr>
        <w:t>第九条、合同解除</w:t>
      </w:r>
      <w:bookmarkEnd w:id="13"/>
    </w:p>
    <w:p w14:paraId="0AC7D8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（一）如果乙方有下述任何一种违约行为或《合同条款》中规定的其它违约行为，在不妨碍甲方采取其它救济手段的情况下，甲方可以向乙方发出书面违约通知，全部或部分地解除合同。</w:t>
      </w:r>
    </w:p>
    <w:p w14:paraId="7A5C2AF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1、乙方未能按合同规定的期限交付和/或提供相关的服务及资料；</w:t>
      </w:r>
    </w:p>
    <w:p w14:paraId="0189F82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2、乙方未能使规划方案达到相应合同附件规定的保证指标；</w:t>
      </w:r>
    </w:p>
    <w:p w14:paraId="70A48DD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3、乙方未能履行合同项下任何其它义务，并且在收到甲方违约通知后未能按通知所规定的期限对其违约行为作出补救；</w:t>
      </w:r>
    </w:p>
    <w:p w14:paraId="7FA983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4、乙方在项目实施过程中未经甲方书面同意将项目的全部或部分转让、转包或分包给第三方公司或个人。</w:t>
      </w:r>
    </w:p>
    <w:p w14:paraId="79B4949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（二）如果一方破产或发生资不抵债的情况,合同另</w:t>
      </w:r>
      <w:bookmarkStart w:id="16" w:name="_GoBack"/>
      <w:bookmarkEnd w:id="16"/>
      <w:r>
        <w:rPr>
          <w:rFonts w:hint="eastAsia" w:ascii="仿宋" w:hAnsi="仿宋" w:eastAsia="仿宋" w:cs="仿宋"/>
          <w:sz w:val="24"/>
          <w:szCs w:val="24"/>
        </w:rPr>
        <w:t>一方有权在任何时候发出书面通知解除合同。此种情况下合同的解除不妨碍或影响行使任何可能的其它救济手段。</w:t>
      </w:r>
    </w:p>
    <w:p w14:paraId="4A41579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（三）如果甲方认定乙方在竞标或执行合同中有腐败或欺诈行为, 甲方有权在任何时候发出书面通知解除合同。 </w:t>
      </w:r>
    </w:p>
    <w:p w14:paraId="20C8F5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1、“腐败行为”系指在招标、采购和合同执行等过程中，为谋求利益、影响相关人员而提供、给予、接受或索取任何有价物的行为。</w:t>
      </w:r>
    </w:p>
    <w:p w14:paraId="35188F1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欺诈行为”系指为了影响招标、采购和合同执行等过程而隐瞒事实，从而给甲方造成损害的行为，其中包括供应商之间的串通行为，其旨在使投标价成为人为的、无竞争的价格，并使甲方无法从自由公开的竞争中受益。</w:t>
      </w:r>
    </w:p>
    <w:p w14:paraId="6F84EB5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（四）如果甲方行使解除合同的权利，甲方有权停付合同款，并有权将在执行合同中预付给乙方的款项索回，并有权要求乙方赔偿由此产生的直接经济损失。</w:t>
      </w:r>
    </w:p>
    <w:p w14:paraId="043CFC1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五）若（二）和（三）考虑的情况确实发生，甲方有权从乙方手中将与“项目”有关的工作接管并收归己有，乙方应给甲方提供全权处理并提供一切合理的方便，甲方对这种终止合同直接或间接引起的对乙方的任何索赔不承担责任。</w:t>
      </w:r>
    </w:p>
    <w:p w14:paraId="1B18C322">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4" w:name="_Toc17305"/>
      <w:r>
        <w:rPr>
          <w:rFonts w:hint="eastAsia" w:cs="Times New Roman"/>
        </w:rPr>
        <w:t>第十条、争议解决方式</w:t>
      </w:r>
      <w:bookmarkEnd w:id="14"/>
    </w:p>
    <w:p w14:paraId="04569A8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因履行本合同发生的争议，由甲方和乙方协商解决，协商不成的，任何一方均可向甲方住所地人民法院提起诉讼，通过诉讼途径解决。</w:t>
      </w:r>
    </w:p>
    <w:p w14:paraId="328DFC6B">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5" w:name="_Toc7009"/>
      <w:r>
        <w:rPr>
          <w:rFonts w:hint="eastAsia" w:cs="Times New Roman"/>
        </w:rPr>
        <w:t>第十一条、合同组成及生效</w:t>
      </w:r>
      <w:bookmarkEnd w:id="15"/>
    </w:p>
    <w:p w14:paraId="0DF294B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（一）合同组成</w:t>
      </w:r>
    </w:p>
    <w:p w14:paraId="23F7D03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1、甲方与乙方签署的合同中的所有条款；</w:t>
      </w:r>
    </w:p>
    <w:p w14:paraId="3EFC469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2、成交通知书；</w:t>
      </w:r>
    </w:p>
    <w:p w14:paraId="6737A0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单一来源谈判</w:t>
      </w:r>
      <w:r>
        <w:rPr>
          <w:rFonts w:hint="eastAsia" w:ascii="仿宋" w:hAnsi="仿宋" w:eastAsia="仿宋" w:cs="仿宋"/>
          <w:sz w:val="24"/>
          <w:szCs w:val="24"/>
        </w:rPr>
        <w:t>文件及澄清（如有）</w:t>
      </w:r>
    </w:p>
    <w:p w14:paraId="1C28CED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单一来源谈判</w:t>
      </w:r>
      <w:r>
        <w:rPr>
          <w:rFonts w:hint="eastAsia" w:ascii="仿宋" w:hAnsi="仿宋" w:eastAsia="仿宋" w:cs="仿宋"/>
          <w:sz w:val="24"/>
          <w:szCs w:val="24"/>
        </w:rPr>
        <w:t>响应文件及澄清（如有）</w:t>
      </w:r>
    </w:p>
    <w:p w14:paraId="36262076">
      <w:pPr>
        <w:tabs>
          <w:tab w:val="left" w:pos="480"/>
        </w:tabs>
        <w:spacing w:after="249" w:afterLines="5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（二）本合同一式</w:t>
      </w:r>
      <w:r>
        <w:rPr>
          <w:rFonts w:hint="eastAsia" w:ascii="仿宋" w:hAnsi="仿宋" w:eastAsia="仿宋" w:cs="仿宋"/>
          <w:b/>
          <w:sz w:val="24"/>
          <w:szCs w:val="24"/>
          <w:u w:val="single"/>
          <w:lang w:val="en-US" w:eastAsia="zh-CN"/>
        </w:rPr>
        <w:t xml:space="preserve">    </w:t>
      </w:r>
      <w:r>
        <w:rPr>
          <w:rFonts w:hint="eastAsia" w:ascii="仿宋" w:hAnsi="仿宋" w:eastAsia="仿宋" w:cs="仿宋"/>
          <w:sz w:val="24"/>
          <w:szCs w:val="24"/>
        </w:rPr>
        <w:t>份，甲方持</w:t>
      </w:r>
      <w:r>
        <w:rPr>
          <w:rFonts w:hint="eastAsia" w:ascii="仿宋" w:hAnsi="仿宋" w:eastAsia="仿宋" w:cs="仿宋"/>
          <w:b/>
          <w:sz w:val="24"/>
          <w:szCs w:val="24"/>
          <w:u w:val="single"/>
          <w:lang w:val="en-US" w:eastAsia="zh-CN"/>
        </w:rPr>
        <w:t xml:space="preserve">   </w:t>
      </w:r>
      <w:r>
        <w:rPr>
          <w:rFonts w:hint="eastAsia" w:ascii="仿宋" w:hAnsi="仿宋" w:eastAsia="仿宋" w:cs="仿宋"/>
          <w:sz w:val="24"/>
          <w:szCs w:val="24"/>
        </w:rPr>
        <w:t>份，乙方持</w:t>
      </w:r>
      <w:r>
        <w:rPr>
          <w:rFonts w:hint="eastAsia" w:ascii="仿宋" w:hAnsi="仿宋" w:eastAsia="仿宋" w:cs="仿宋"/>
          <w:b/>
          <w:sz w:val="24"/>
          <w:szCs w:val="24"/>
          <w:u w:val="single"/>
          <w:lang w:val="en-US" w:eastAsia="zh-CN"/>
        </w:rPr>
        <w:t xml:space="preserve">   </w:t>
      </w:r>
      <w:r>
        <w:rPr>
          <w:rFonts w:hint="eastAsia" w:ascii="仿宋" w:hAnsi="仿宋" w:eastAsia="仿宋" w:cs="仿宋"/>
          <w:sz w:val="24"/>
          <w:szCs w:val="24"/>
        </w:rPr>
        <w:t>份，甲乙双方签字盖章后生效。</w:t>
      </w:r>
    </w:p>
    <w:p w14:paraId="0F6136D2">
      <w:pPr>
        <w:tabs>
          <w:tab w:val="left" w:pos="480"/>
        </w:tabs>
        <w:spacing w:after="249" w:afterLines="50"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以下无正文</w:t>
      </w:r>
      <w:r>
        <w:rPr>
          <w:rFonts w:hint="eastAsia" w:ascii="仿宋" w:hAnsi="仿宋" w:eastAsia="仿宋" w:cs="仿宋"/>
          <w:sz w:val="24"/>
          <w:szCs w:val="24"/>
          <w:lang w:eastAsia="zh-CN"/>
        </w:rPr>
        <w:t>）</w:t>
      </w:r>
    </w:p>
    <w:tbl>
      <w:tblPr>
        <w:tblStyle w:val="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00"/>
        <w:gridCol w:w="4680"/>
      </w:tblGrid>
      <w:tr w14:paraId="06E79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2" w:hRule="exact"/>
          <w:jc w:val="center"/>
        </w:trPr>
        <w:tc>
          <w:tcPr>
            <w:tcW w:w="4400" w:type="dxa"/>
            <w:tcBorders>
              <w:tl2br w:val="nil"/>
              <w:tr2bl w:val="nil"/>
            </w:tcBorders>
            <w:noWrap w:val="0"/>
            <w:tcMar>
              <w:left w:w="0" w:type="dxa"/>
              <w:right w:w="0" w:type="dxa"/>
            </w:tcMar>
            <w:vAlign w:val="center"/>
          </w:tcPr>
          <w:p w14:paraId="337FE8FC">
            <w:pPr>
              <w:autoSpaceDE w:val="0"/>
              <w:autoSpaceDN w:val="0"/>
              <w:adjustRightInd w:val="0"/>
              <w:spacing w:line="360" w:lineRule="auto"/>
              <w:rPr>
                <w:rFonts w:hint="eastAsia" w:ascii="仿宋" w:hAnsi="仿宋" w:eastAsia="仿宋" w:cs="仿宋"/>
                <w:b/>
                <w:kern w:val="0"/>
                <w:sz w:val="24"/>
                <w:szCs w:val="24"/>
                <w:lang w:eastAsia="zh-CN"/>
              </w:rPr>
            </w:pPr>
            <w:r>
              <w:rPr>
                <w:rFonts w:hint="eastAsia" w:ascii="仿宋" w:hAnsi="仿宋" w:eastAsia="仿宋" w:cs="仿宋"/>
                <w:b/>
                <w:kern w:val="0"/>
                <w:sz w:val="24"/>
                <w:szCs w:val="24"/>
              </w:rPr>
              <w:t>甲方：</w:t>
            </w:r>
            <w:r>
              <w:rPr>
                <w:rFonts w:hint="eastAsia" w:ascii="仿宋" w:hAnsi="仿宋" w:eastAsia="仿宋" w:cs="仿宋"/>
                <w:b/>
                <w:kern w:val="0"/>
                <w:sz w:val="24"/>
                <w:szCs w:val="24"/>
                <w:lang w:eastAsia="zh-CN"/>
              </w:rPr>
              <w:t>西安市</w:t>
            </w:r>
            <w:r>
              <w:rPr>
                <w:rFonts w:hint="eastAsia" w:ascii="仿宋" w:hAnsi="仿宋" w:eastAsia="仿宋" w:cs="仿宋"/>
                <w:b/>
                <w:kern w:val="0"/>
                <w:sz w:val="24"/>
                <w:szCs w:val="24"/>
                <w:lang w:val="en-US" w:eastAsia="zh-CN"/>
              </w:rPr>
              <w:t>雁塔</w:t>
            </w:r>
            <w:r>
              <w:rPr>
                <w:rFonts w:hint="eastAsia" w:ascii="仿宋" w:hAnsi="仿宋" w:eastAsia="仿宋" w:cs="仿宋"/>
                <w:b/>
                <w:kern w:val="0"/>
                <w:sz w:val="24"/>
                <w:szCs w:val="24"/>
                <w:lang w:eastAsia="zh-CN"/>
              </w:rPr>
              <w:t>区人民法院</w:t>
            </w:r>
          </w:p>
          <w:p w14:paraId="6883EFA9">
            <w:pPr>
              <w:autoSpaceDE w:val="0"/>
              <w:autoSpaceDN w:val="0"/>
              <w:adjustRightInd w:val="0"/>
              <w:spacing w:line="360" w:lineRule="auto"/>
              <w:ind w:firstLine="2880" w:firstLineChars="1200"/>
              <w:rPr>
                <w:rFonts w:hint="eastAsia" w:ascii="仿宋" w:hAnsi="仿宋" w:eastAsia="仿宋" w:cs="仿宋"/>
                <w:b/>
                <w:kern w:val="0"/>
                <w:sz w:val="24"/>
                <w:szCs w:val="24"/>
              </w:rPr>
            </w:pPr>
            <w:r>
              <w:rPr>
                <w:rFonts w:hint="eastAsia" w:ascii="仿宋" w:hAnsi="仿宋" w:eastAsia="仿宋" w:cs="仿宋"/>
                <w:color w:val="000000"/>
                <w:kern w:val="0"/>
                <w:sz w:val="24"/>
                <w:szCs w:val="24"/>
              </w:rPr>
              <w:t>（盖章）</w:t>
            </w:r>
          </w:p>
        </w:tc>
        <w:tc>
          <w:tcPr>
            <w:tcW w:w="4680" w:type="dxa"/>
            <w:tcBorders>
              <w:tl2br w:val="nil"/>
              <w:tr2bl w:val="nil"/>
            </w:tcBorders>
            <w:noWrap w:val="0"/>
            <w:tcMar>
              <w:left w:w="0" w:type="dxa"/>
              <w:right w:w="0" w:type="dxa"/>
            </w:tcMar>
            <w:vAlign w:val="center"/>
          </w:tcPr>
          <w:p w14:paraId="4746A589">
            <w:pPr>
              <w:autoSpaceDE w:val="0"/>
              <w:autoSpaceDN w:val="0"/>
              <w:adjustRightInd w:val="0"/>
              <w:spacing w:line="360" w:lineRule="auto"/>
              <w:rPr>
                <w:rFonts w:hint="eastAsia" w:ascii="仿宋" w:hAnsi="仿宋" w:eastAsia="仿宋" w:cs="仿宋"/>
                <w:b w:val="0"/>
                <w:bCs w:val="0"/>
                <w:sz w:val="24"/>
                <w:szCs w:val="24"/>
                <w:u w:val="none"/>
                <w:lang w:val="en-US" w:eastAsia="zh-CN"/>
              </w:rPr>
            </w:pPr>
            <w:r>
              <w:rPr>
                <w:rFonts w:hint="eastAsia" w:ascii="仿宋" w:hAnsi="仿宋" w:eastAsia="仿宋" w:cs="仿宋"/>
                <w:b/>
                <w:kern w:val="0"/>
                <w:sz w:val="24"/>
                <w:szCs w:val="24"/>
              </w:rPr>
              <w:t>乙方：</w:t>
            </w:r>
            <w:r>
              <w:rPr>
                <w:rFonts w:hint="eastAsia" w:ascii="仿宋" w:hAnsi="仿宋" w:eastAsia="仿宋" w:cs="仿宋"/>
                <w:b w:val="0"/>
                <w:bCs w:val="0"/>
                <w:sz w:val="24"/>
                <w:szCs w:val="24"/>
                <w:u w:val="none"/>
                <w:lang w:val="en-US" w:eastAsia="zh-CN"/>
              </w:rPr>
              <w:t>中国邮政速递物流股份有限公司</w:t>
            </w:r>
          </w:p>
          <w:p w14:paraId="03D53DEF">
            <w:pPr>
              <w:autoSpaceDE w:val="0"/>
              <w:autoSpaceDN w:val="0"/>
              <w:adjustRightInd w:val="0"/>
              <w:spacing w:line="360" w:lineRule="auto"/>
              <w:ind w:firstLine="720" w:firstLineChars="300"/>
              <w:rPr>
                <w:rFonts w:hint="eastAsia" w:ascii="仿宋" w:hAnsi="仿宋" w:eastAsia="仿宋" w:cs="仿宋"/>
                <w:b/>
                <w:kern w:val="0"/>
                <w:sz w:val="24"/>
                <w:szCs w:val="24"/>
                <w:u w:val="none"/>
              </w:rPr>
            </w:pPr>
            <w:r>
              <w:rPr>
                <w:rFonts w:hint="eastAsia" w:ascii="仿宋" w:hAnsi="仿宋" w:eastAsia="仿宋" w:cs="仿宋"/>
                <w:b w:val="0"/>
                <w:bCs w:val="0"/>
                <w:sz w:val="24"/>
                <w:szCs w:val="24"/>
                <w:u w:val="none"/>
                <w:lang w:val="en-US" w:eastAsia="zh-CN"/>
              </w:rPr>
              <w:t xml:space="preserve">西安市分公司         </w:t>
            </w:r>
            <w:r>
              <w:rPr>
                <w:rFonts w:hint="eastAsia" w:ascii="仿宋" w:hAnsi="仿宋" w:eastAsia="仿宋" w:cs="仿宋"/>
                <w:color w:val="000000"/>
                <w:kern w:val="0"/>
                <w:sz w:val="24"/>
                <w:szCs w:val="24"/>
              </w:rPr>
              <w:t>（盖章）</w:t>
            </w:r>
          </w:p>
          <w:p w14:paraId="7CB822FA">
            <w:pPr>
              <w:autoSpaceDE w:val="0"/>
              <w:autoSpaceDN w:val="0"/>
              <w:adjustRightInd w:val="0"/>
              <w:spacing w:line="360" w:lineRule="auto"/>
              <w:ind w:firstLine="3360" w:firstLineChars="1400"/>
              <w:rPr>
                <w:rFonts w:hint="eastAsia" w:ascii="仿宋" w:hAnsi="仿宋" w:eastAsia="仿宋" w:cs="仿宋"/>
                <w:b/>
                <w:kern w:val="0"/>
                <w:sz w:val="24"/>
                <w:szCs w:val="24"/>
              </w:rPr>
            </w:pPr>
            <w:r>
              <w:rPr>
                <w:rFonts w:hint="eastAsia" w:ascii="仿宋" w:hAnsi="仿宋" w:eastAsia="仿宋" w:cs="仿宋"/>
                <w:color w:val="000000"/>
                <w:kern w:val="0"/>
                <w:sz w:val="24"/>
                <w:szCs w:val="24"/>
              </w:rPr>
              <w:t>（盖章）</w:t>
            </w:r>
          </w:p>
        </w:tc>
      </w:tr>
      <w:tr w14:paraId="0ADB7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00" w:type="dxa"/>
            <w:tcBorders>
              <w:tl2br w:val="nil"/>
              <w:tr2bl w:val="nil"/>
            </w:tcBorders>
            <w:noWrap w:val="0"/>
            <w:vAlign w:val="center"/>
          </w:tcPr>
          <w:p w14:paraId="639FF627">
            <w:pPr>
              <w:autoSpaceDE w:val="0"/>
              <w:autoSpaceDN w:val="0"/>
              <w:adjustRightInd w:val="0"/>
              <w:spacing w:line="360" w:lineRule="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地址：</w:t>
            </w:r>
          </w:p>
        </w:tc>
        <w:tc>
          <w:tcPr>
            <w:tcW w:w="4680" w:type="dxa"/>
            <w:tcBorders>
              <w:tl2br w:val="nil"/>
              <w:tr2bl w:val="nil"/>
            </w:tcBorders>
            <w:noWrap w:val="0"/>
            <w:vAlign w:val="center"/>
          </w:tcPr>
          <w:p w14:paraId="62130E6C">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p>
        </w:tc>
      </w:tr>
      <w:tr w14:paraId="5D646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00" w:type="dxa"/>
            <w:tcBorders>
              <w:tl2br w:val="nil"/>
              <w:tr2bl w:val="nil"/>
            </w:tcBorders>
            <w:noWrap w:val="0"/>
            <w:vAlign w:val="center"/>
          </w:tcPr>
          <w:p w14:paraId="5C724670">
            <w:pPr>
              <w:autoSpaceDE w:val="0"/>
              <w:autoSpaceDN w:val="0"/>
              <w:adjustRightInd w:val="0"/>
              <w:spacing w:line="360" w:lineRule="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邮编：</w:t>
            </w:r>
          </w:p>
        </w:tc>
        <w:tc>
          <w:tcPr>
            <w:tcW w:w="4680" w:type="dxa"/>
            <w:tcBorders>
              <w:tl2br w:val="nil"/>
              <w:tr2bl w:val="nil"/>
            </w:tcBorders>
            <w:noWrap w:val="0"/>
            <w:vAlign w:val="center"/>
          </w:tcPr>
          <w:p w14:paraId="4D93F4AE">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邮编：</w:t>
            </w:r>
          </w:p>
        </w:tc>
      </w:tr>
      <w:tr w14:paraId="17A26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7" w:hRule="exact"/>
          <w:jc w:val="center"/>
        </w:trPr>
        <w:tc>
          <w:tcPr>
            <w:tcW w:w="4400" w:type="dxa"/>
            <w:tcBorders>
              <w:tl2br w:val="nil"/>
              <w:tr2bl w:val="nil"/>
            </w:tcBorders>
            <w:noWrap w:val="0"/>
            <w:vAlign w:val="center"/>
          </w:tcPr>
          <w:p w14:paraId="7DC4FA01">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负责人</w:t>
            </w:r>
            <w:r>
              <w:rPr>
                <w:rFonts w:hint="eastAsia" w:ascii="仿宋" w:hAnsi="仿宋" w:eastAsia="仿宋" w:cs="仿宋"/>
                <w:color w:val="000000"/>
                <w:kern w:val="0"/>
                <w:sz w:val="24"/>
                <w:szCs w:val="24"/>
              </w:rPr>
              <w:t>：</w:t>
            </w:r>
          </w:p>
        </w:tc>
        <w:tc>
          <w:tcPr>
            <w:tcW w:w="4680" w:type="dxa"/>
            <w:tcBorders>
              <w:tl2br w:val="nil"/>
              <w:tr2bl w:val="nil"/>
            </w:tcBorders>
            <w:noWrap w:val="0"/>
            <w:vAlign w:val="center"/>
          </w:tcPr>
          <w:p w14:paraId="7F54959D">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负责人</w:t>
            </w:r>
            <w:r>
              <w:rPr>
                <w:rFonts w:hint="eastAsia" w:ascii="仿宋" w:hAnsi="仿宋" w:eastAsia="仿宋" w:cs="仿宋"/>
                <w:color w:val="000000"/>
                <w:kern w:val="0"/>
                <w:sz w:val="24"/>
                <w:szCs w:val="24"/>
              </w:rPr>
              <w:t>：</w:t>
            </w:r>
          </w:p>
        </w:tc>
      </w:tr>
      <w:tr w14:paraId="29873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7" w:hRule="exact"/>
          <w:jc w:val="center"/>
        </w:trPr>
        <w:tc>
          <w:tcPr>
            <w:tcW w:w="4400" w:type="dxa"/>
            <w:tcBorders>
              <w:tl2br w:val="nil"/>
              <w:tr2bl w:val="nil"/>
            </w:tcBorders>
            <w:noWrap w:val="0"/>
            <w:vAlign w:val="center"/>
          </w:tcPr>
          <w:p w14:paraId="24D561E8">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被授权代表：（签字）</w:t>
            </w:r>
          </w:p>
        </w:tc>
        <w:tc>
          <w:tcPr>
            <w:tcW w:w="4680" w:type="dxa"/>
            <w:tcBorders>
              <w:tl2br w:val="nil"/>
              <w:tr2bl w:val="nil"/>
            </w:tcBorders>
            <w:noWrap w:val="0"/>
            <w:vAlign w:val="center"/>
          </w:tcPr>
          <w:p w14:paraId="53E924E1">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被授权代表：（签字）</w:t>
            </w:r>
          </w:p>
        </w:tc>
      </w:tr>
      <w:tr w14:paraId="707B9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8" w:hRule="atLeast"/>
          <w:jc w:val="center"/>
        </w:trPr>
        <w:tc>
          <w:tcPr>
            <w:tcW w:w="4400" w:type="dxa"/>
            <w:tcBorders>
              <w:tl2br w:val="nil"/>
              <w:tr2bl w:val="nil"/>
            </w:tcBorders>
            <w:noWrap w:val="0"/>
            <w:vAlign w:val="center"/>
          </w:tcPr>
          <w:p w14:paraId="2BBA95C6">
            <w:pPr>
              <w:autoSpaceDE w:val="0"/>
              <w:autoSpaceDN w:val="0"/>
              <w:adjustRightInd w:val="0"/>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c>
          <w:tcPr>
            <w:tcW w:w="4680" w:type="dxa"/>
            <w:tcBorders>
              <w:tl2br w:val="nil"/>
              <w:tr2bl w:val="nil"/>
            </w:tcBorders>
            <w:noWrap w:val="0"/>
            <w:vAlign w:val="center"/>
          </w:tcPr>
          <w:p w14:paraId="16BEA5EE">
            <w:pPr>
              <w:autoSpaceDE w:val="0"/>
              <w:autoSpaceDN w:val="0"/>
              <w:adjustRightInd w:val="0"/>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r>
    </w:tbl>
    <w:p w14:paraId="3A07DCB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366783"/>
    <w:rsid w:val="12366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3">
    <w:name w:val="heading 2"/>
    <w:basedOn w:val="1"/>
    <w:next w:val="4"/>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8</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2025-06-09T04:19:00Z</dcterms:created>
  <dc:creator>宝贝</dc:creator>
  <cp:lastModifiedBy>宝贝</cp:lastModifiedBy>
  <dcterms:modified xsi:type="dcterms:W3CDTF">2025-06-09T04:27:21Z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479C5000F4C64E3F88A33D4CF3A977E2_11</vt:lpwstr>
  </property>
  <property fmtid="{D5CDD505-2E9C-101B-9397-08002B2CF9AE}" pid="4" name="KSOTemplateDocerSaveRecord">
    <vt:lpwstr>eyJoZGlkIjoiNjg2NjllYmY1Njc2ODM3YWZiNTk3NDE5MDA4MzkzZTEiLCJ1c2VySWQiOiIxMDQwMzkxOTA1In0=</vt:lpwstr>
  </property>
</Properties>
</file>