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版本号：正衡招字-[2025]-446号20250606001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2025年西所房屋租赁项目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正衡招字-[2025]-446号</w:t>
      </w:r>
      <w:r>
        <w:br/>
      </w:r>
      <w:r>
        <w:br/>
      </w:r>
      <w:r>
        <w:br/>
      </w:r>
    </w:p>
    <w:p>
      <w:pPr>
        <w:pStyle w:val="null3"/>
        <w:jc w:val="center"/>
        <w:outlineLvl w:val="5"/>
      </w:pPr>
      <w:r>
        <w:rPr>
          <w:rFonts w:ascii="仿宋_GB2312" w:hAnsi="仿宋_GB2312" w:cs="仿宋_GB2312" w:eastAsia="仿宋_GB2312"/>
          <w:sz w:val="15"/>
          <w:b/>
        </w:rPr>
        <w:t>西安市公安局交通管理支队</w:t>
      </w:r>
    </w:p>
    <w:p>
      <w:pPr>
        <w:pStyle w:val="null3"/>
        <w:jc w:val="center"/>
        <w:outlineLvl w:val="5"/>
      </w:pPr>
      <w:r>
        <w:rPr>
          <w:rFonts w:ascii="仿宋_GB2312" w:hAnsi="仿宋_GB2312" w:cs="仿宋_GB2312" w:eastAsia="仿宋_GB2312"/>
          <w:sz w:val="15"/>
          <w:b/>
        </w:rPr>
        <w:t>正衡工程项目管理有限公司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2025年西所房屋租赁项目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正衡招字-[2025]-446号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2025年西所房屋租赁项目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租赁场地及附属设施、房屋用于车管大队西区分所对外新车检测照相、挂牌变更过户等车、驾管业务办理；机动车驾驶人科目一、四考试及候考大厅、临时档案库；干警及工作人员宿办生活用房等用途。</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采购包1（2025年西所房屋租赁项目）：属于专门面向中小企业采购。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合法注册的法人或其他组织的营业执照等证明文件、自然人的身份证明：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pPr>
        <w:pStyle w:val="null3"/>
      </w:pPr>
      <w:r>
        <w:rPr>
          <w:rFonts w:ascii="仿宋_GB2312" w:hAnsi="仿宋_GB2312" w:cs="仿宋_GB2312" w:eastAsia="仿宋_GB2312"/>
        </w:rPr>
        <w:t>3、税收缴纳证明：税收缴纳证明：提供已缴纳的本年度或上年度任一月份的纳税证明或完税证明，纳税证明或完税证明上应有代收机构或税务机关的公章。依法免税的投标人应提供相关文件证明</w:t>
      </w:r>
    </w:p>
    <w:p>
      <w:pPr>
        <w:pStyle w:val="null3"/>
      </w:pPr>
      <w:r>
        <w:rPr>
          <w:rFonts w:ascii="仿宋_GB2312" w:hAnsi="仿宋_GB2312" w:cs="仿宋_GB2312" w:eastAsia="仿宋_GB2312"/>
        </w:rPr>
        <w:t>4、社会保障资金缴纳证明：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身份证明或授权委托书：法定代表人授权委托书：非法定代表人参加投标的，须提供法定代表人授权委托书及被授权人身份证复印件；法定代表人参加投标时,须提供法定代表人身份证明及身份证复印件；(式样见投标文件格式)</w:t>
      </w:r>
    </w:p>
    <w:p>
      <w:pPr>
        <w:pStyle w:val="null3"/>
      </w:pPr>
      <w:r>
        <w:rPr>
          <w:rFonts w:ascii="仿宋_GB2312" w:hAnsi="仿宋_GB2312" w:cs="仿宋_GB2312" w:eastAsia="仿宋_GB2312"/>
        </w:rPr>
        <w:t>8、信用信息查询：信用信息查询：不得为“信用中国”网站(http://www.creditchina.gov.cn)列入“重大税收违法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车辆管理大队杜建革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18591871395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陕西省西安市航天基地雁塔南路391号正衡金融广场A幢18层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何星星、郑维肖、周雯婷、付婧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029-87515632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正衡工程项目管理有限公司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租赁场地及附属设施、房屋用于车管大队西区分所对外新车检测照相、挂牌变更过户等车、驾管业务办理；机动车驾驶人科目一、四考试及候考大厅、临时档案库；干警及工作人员宿办生活用房等用途。</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00000"/>
              </w:rPr>
              <w:t>一、项目概况</w:t>
            </w:r>
          </w:p>
          <w:p>
            <w:pPr>
              <w:pStyle w:val="null3"/>
              <w:ind w:firstLine="561"/>
              <w:jc w:val="both"/>
            </w:pPr>
            <w:r>
              <w:rPr>
                <w:rFonts w:ascii="仿宋_GB2312" w:hAnsi="仿宋_GB2312" w:cs="仿宋_GB2312" w:eastAsia="仿宋_GB2312"/>
                <w:sz w:val="28"/>
                <w:b/>
                <w:color w:val="000000"/>
              </w:rPr>
              <w:t>（一）租赁场地</w:t>
            </w:r>
          </w:p>
          <w:p>
            <w:pPr>
              <w:pStyle w:val="null3"/>
              <w:ind w:firstLine="560"/>
              <w:jc w:val="both"/>
            </w:pPr>
            <w:r>
              <w:rPr>
                <w:rFonts w:ascii="仿宋_GB2312" w:hAnsi="仿宋_GB2312" w:cs="仿宋_GB2312" w:eastAsia="仿宋_GB2312"/>
                <w:sz w:val="28"/>
                <w:color w:val="000000"/>
              </w:rPr>
              <w:t>场地位于西安市</w:t>
            </w:r>
            <w:r>
              <w:rPr>
                <w:rFonts w:ascii="仿宋_GB2312" w:hAnsi="仿宋_GB2312" w:cs="仿宋_GB2312" w:eastAsia="仿宋_GB2312"/>
                <w:sz w:val="28"/>
                <w:color w:val="000000"/>
                <w:u w:val="single"/>
              </w:rPr>
              <w:t>长安区斗门街道办事处镐京村</w:t>
            </w:r>
            <w:r>
              <w:rPr>
                <w:rFonts w:ascii="仿宋_GB2312" w:hAnsi="仿宋_GB2312" w:cs="仿宋_GB2312" w:eastAsia="仿宋_GB2312"/>
                <w:sz w:val="28"/>
                <w:color w:val="000000"/>
                <w:u w:val="single"/>
              </w:rPr>
              <w:t>108</w:t>
            </w:r>
            <w:r>
              <w:rPr>
                <w:rFonts w:ascii="仿宋_GB2312" w:hAnsi="仿宋_GB2312" w:cs="仿宋_GB2312" w:eastAsia="仿宋_GB2312"/>
                <w:sz w:val="28"/>
                <w:color w:val="000000"/>
                <w:u w:val="single"/>
              </w:rPr>
              <w:t>国道北侧（西安沣东新城西户路中段</w:t>
            </w:r>
            <w:r>
              <w:rPr>
                <w:rFonts w:ascii="仿宋_GB2312" w:hAnsi="仿宋_GB2312" w:cs="仿宋_GB2312" w:eastAsia="仿宋_GB2312"/>
                <w:sz w:val="28"/>
                <w:color w:val="000000"/>
                <w:u w:val="single"/>
              </w:rPr>
              <w:t>8</w:t>
            </w:r>
            <w:r>
              <w:rPr>
                <w:rFonts w:ascii="仿宋_GB2312" w:hAnsi="仿宋_GB2312" w:cs="仿宋_GB2312" w:eastAsia="仿宋_GB2312"/>
                <w:sz w:val="28"/>
                <w:color w:val="000000"/>
                <w:u w:val="single"/>
              </w:rPr>
              <w:t>号），</w:t>
            </w:r>
            <w:r>
              <w:rPr>
                <w:rFonts w:ascii="仿宋_GB2312" w:hAnsi="仿宋_GB2312" w:cs="仿宋_GB2312" w:eastAsia="仿宋_GB2312"/>
                <w:sz w:val="28"/>
                <w:color w:val="000000"/>
              </w:rPr>
              <w:t>（原西安市惠强纸业有限责任公司旧场区改造后现为西安市公诚二手车交易市场）：</w:t>
            </w:r>
          </w:p>
          <w:p>
            <w:pPr>
              <w:pStyle w:val="null3"/>
              <w:numPr>
                <w:ilvl w:val="0"/>
                <w:numId w:val="1"/>
              </w:numPr>
              <w:jc w:val="left"/>
            </w:pPr>
            <w:r>
              <w:rPr>
                <w:rFonts w:ascii="仿宋_GB2312" w:hAnsi="仿宋_GB2312" w:cs="仿宋_GB2312" w:eastAsia="仿宋_GB2312"/>
                <w:sz w:val="28"/>
                <w:color w:val="000000"/>
              </w:rPr>
              <w:t>车管所业务大厅</w:t>
            </w:r>
            <w:r>
              <w:rPr>
                <w:rFonts w:ascii="仿宋_GB2312" w:hAnsi="仿宋_GB2312" w:cs="仿宋_GB2312" w:eastAsia="仿宋_GB2312"/>
                <w:sz w:val="28"/>
                <w:color w:val="000000"/>
                <w:u w:val="single"/>
              </w:rPr>
              <w:t xml:space="preserve"> 710m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w:t>
            </w:r>
            <w:r>
              <w:rPr>
                <w:rFonts w:ascii="仿宋_GB2312" w:hAnsi="仿宋_GB2312" w:cs="仿宋_GB2312" w:eastAsia="仿宋_GB2312"/>
                <w:sz w:val="28"/>
                <w:color w:val="000000"/>
              </w:rPr>
              <w:t>档案室</w:t>
            </w:r>
            <w:r>
              <w:rPr>
                <w:rFonts w:ascii="仿宋_GB2312" w:hAnsi="仿宋_GB2312" w:cs="仿宋_GB2312" w:eastAsia="仿宋_GB2312"/>
                <w:sz w:val="28"/>
                <w:color w:val="000000"/>
                <w:u w:val="single"/>
              </w:rPr>
              <w:t xml:space="preserve"> 210m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，库房</w:t>
            </w:r>
            <w:r>
              <w:rPr>
                <w:rFonts w:ascii="仿宋_GB2312" w:hAnsi="仿宋_GB2312" w:cs="仿宋_GB2312" w:eastAsia="仿宋_GB2312"/>
                <w:sz w:val="28"/>
                <w:color w:val="000000"/>
                <w:u w:val="single"/>
              </w:rPr>
              <w:t xml:space="preserve"> 120m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w:t>
            </w:r>
          </w:p>
          <w:p>
            <w:pPr>
              <w:pStyle w:val="null3"/>
              <w:numPr>
                <w:ilvl w:val="0"/>
                <w:numId w:val="1"/>
              </w:numPr>
              <w:jc w:val="left"/>
            </w:pPr>
            <w:r>
              <w:rPr>
                <w:rFonts w:ascii="仿宋_GB2312" w:hAnsi="仿宋_GB2312" w:cs="仿宋_GB2312" w:eastAsia="仿宋_GB2312"/>
                <w:sz w:val="28"/>
                <w:color w:val="000000"/>
              </w:rPr>
              <w:t>车管所西所科目一、四考试中心</w:t>
            </w:r>
            <w:r>
              <w:rPr>
                <w:rFonts w:ascii="仿宋_GB2312" w:hAnsi="仿宋_GB2312" w:cs="仿宋_GB2312" w:eastAsia="仿宋_GB2312"/>
                <w:sz w:val="28"/>
                <w:color w:val="000000"/>
                <w:u w:val="single"/>
              </w:rPr>
              <w:t xml:space="preserve"> 1400m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，档案库</w:t>
            </w:r>
            <w:r>
              <w:rPr>
                <w:rFonts w:ascii="仿宋_GB2312" w:hAnsi="仿宋_GB2312" w:cs="仿宋_GB2312" w:eastAsia="仿宋_GB2312"/>
                <w:sz w:val="28"/>
                <w:color w:val="000000"/>
                <w:u w:val="single"/>
              </w:rPr>
              <w:t xml:space="preserve"> 900m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w:t>
            </w:r>
          </w:p>
          <w:p>
            <w:pPr>
              <w:pStyle w:val="null3"/>
              <w:numPr>
                <w:ilvl w:val="0"/>
                <w:numId w:val="1"/>
              </w:numPr>
              <w:jc w:val="left"/>
            </w:pPr>
            <w:r>
              <w:rPr>
                <w:rFonts w:ascii="仿宋_GB2312" w:hAnsi="仿宋_GB2312" w:cs="仿宋_GB2312" w:eastAsia="仿宋_GB2312"/>
                <w:sz w:val="28"/>
                <w:color w:val="000000"/>
              </w:rPr>
              <w:t>宿办区在乙方办公楼整个三层</w:t>
            </w:r>
            <w:r>
              <w:rPr>
                <w:rFonts w:ascii="仿宋_GB2312" w:hAnsi="仿宋_GB2312" w:cs="仿宋_GB2312" w:eastAsia="仿宋_GB2312"/>
                <w:sz w:val="28"/>
                <w:color w:val="000000"/>
                <w:u w:val="single"/>
              </w:rPr>
              <w:t xml:space="preserve"> 820m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及四层</w:t>
            </w:r>
            <w:r>
              <w:rPr>
                <w:rFonts w:ascii="仿宋_GB2312" w:hAnsi="仿宋_GB2312" w:cs="仿宋_GB2312" w:eastAsia="仿宋_GB2312"/>
                <w:sz w:val="28"/>
                <w:color w:val="000000"/>
                <w:u w:val="single"/>
              </w:rPr>
              <w:t xml:space="preserve"> 200m</w:t>
            </w:r>
            <w:r>
              <w:rPr>
                <w:rFonts w:ascii="仿宋_GB2312" w:hAnsi="仿宋_GB2312" w:cs="仿宋_GB2312" w:eastAsia="仿宋_GB2312"/>
                <w:sz w:val="28"/>
                <w:color w:val="000000"/>
                <w:u w:val="single"/>
                <w:vertAlign w:val="superscript"/>
              </w:rPr>
              <w:t xml:space="preserve">2  </w:t>
            </w:r>
            <w:r>
              <w:rPr>
                <w:rFonts w:ascii="仿宋_GB2312" w:hAnsi="仿宋_GB2312" w:cs="仿宋_GB2312" w:eastAsia="仿宋_GB2312"/>
                <w:sz w:val="28"/>
                <w:color w:val="000000"/>
              </w:rPr>
              <w:t>餐厅；</w:t>
            </w:r>
          </w:p>
          <w:p>
            <w:pPr>
              <w:pStyle w:val="null3"/>
              <w:numPr>
                <w:ilvl w:val="0"/>
                <w:numId w:val="1"/>
              </w:numPr>
              <w:jc w:val="left"/>
            </w:pPr>
            <w:r>
              <w:rPr>
                <w:rFonts w:ascii="仿宋_GB2312" w:hAnsi="仿宋_GB2312" w:cs="仿宋_GB2312" w:eastAsia="仿宋_GB2312"/>
                <w:sz w:val="28"/>
                <w:color w:val="000000"/>
              </w:rPr>
              <w:t>业务用外检专用停车场及工勤人员停车场</w:t>
            </w:r>
            <w:r>
              <w:rPr>
                <w:rFonts w:ascii="仿宋_GB2312" w:hAnsi="仿宋_GB2312" w:cs="仿宋_GB2312" w:eastAsia="仿宋_GB2312"/>
                <w:sz w:val="28"/>
                <w:color w:val="000000"/>
              </w:rPr>
              <w:t>4500m</w:t>
            </w:r>
            <w:r>
              <w:rPr>
                <w:rFonts w:ascii="仿宋_GB2312" w:hAnsi="仿宋_GB2312" w:cs="仿宋_GB2312" w:eastAsia="仿宋_GB2312"/>
                <w:sz w:val="28"/>
                <w:color w:val="000000"/>
                <w:vertAlign w:val="superscript"/>
              </w:rPr>
              <w:t>2</w:t>
            </w:r>
            <w:r>
              <w:rPr>
                <w:rFonts w:ascii="仿宋_GB2312" w:hAnsi="仿宋_GB2312" w:cs="仿宋_GB2312" w:eastAsia="仿宋_GB2312"/>
                <w:sz w:val="28"/>
                <w:color w:val="000000"/>
              </w:rPr>
              <w:t>，租赁办公</w:t>
            </w:r>
            <w:r>
              <w:rPr>
                <w:rFonts w:ascii="仿宋_GB2312" w:hAnsi="仿宋_GB2312" w:cs="仿宋_GB2312" w:eastAsia="仿宋_GB2312"/>
                <w:sz w:val="28"/>
              </w:rPr>
              <w:t xml:space="preserve">  </w:t>
            </w:r>
            <w:r>
              <w:rPr>
                <w:rFonts w:ascii="仿宋_GB2312" w:hAnsi="仿宋_GB2312" w:cs="仿宋_GB2312" w:eastAsia="仿宋_GB2312"/>
                <w:sz w:val="28"/>
                <w:color w:val="000000"/>
              </w:rPr>
              <w:t>区域内水、电齐全，且有备用电源。（租赁场地、宿办区域面积、位置等以合同附件租赁区域平面示意图为准）。</w:t>
            </w:r>
          </w:p>
          <w:p>
            <w:pPr>
              <w:pStyle w:val="null3"/>
              <w:ind w:firstLine="561"/>
              <w:jc w:val="both"/>
            </w:pPr>
            <w:r>
              <w:rPr>
                <w:rFonts w:ascii="仿宋_GB2312" w:hAnsi="仿宋_GB2312" w:cs="仿宋_GB2312" w:eastAsia="仿宋_GB2312"/>
                <w:sz w:val="28"/>
                <w:b/>
                <w:color w:val="000000"/>
              </w:rPr>
              <w:t>（二）附属设施</w:t>
            </w:r>
          </w:p>
          <w:p>
            <w:pPr>
              <w:pStyle w:val="null3"/>
              <w:ind w:firstLine="560"/>
              <w:jc w:val="both"/>
            </w:pPr>
            <w:r>
              <w:rPr>
                <w:rFonts w:ascii="仿宋_GB2312" w:hAnsi="仿宋_GB2312" w:cs="仿宋_GB2312" w:eastAsia="仿宋_GB2312"/>
                <w:sz w:val="28"/>
                <w:color w:val="000000"/>
              </w:rPr>
              <w:t>乙方负责按照以下要求提供相关附属设施：</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、按标定功率面积配置空调；</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、根据不同业务部门制定相应统一标识门头、导向标识牌、指路牌、业务窗口标识牌等；</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、在办公区域内设置安保监控系统；</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、整个办公区域与外界隔离设施制安；</w:t>
            </w:r>
          </w:p>
          <w:p>
            <w:pPr>
              <w:pStyle w:val="null3"/>
              <w:ind w:firstLine="560"/>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、办公区域内不同场地标志标线试画及分区（道）隔离带制安，防盗防盗安全设施制安等；</w:t>
            </w:r>
          </w:p>
          <w:p>
            <w:pPr>
              <w:pStyle w:val="null3"/>
              <w:ind w:firstLine="560"/>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、消防预警系统安全设施设备的配置；</w:t>
            </w:r>
          </w:p>
          <w:p>
            <w:pPr>
              <w:pStyle w:val="null3"/>
              <w:ind w:firstLine="560"/>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、设置公共卫生间；</w:t>
            </w:r>
          </w:p>
          <w:p>
            <w:pPr>
              <w:pStyle w:val="null3"/>
              <w:ind w:firstLine="560"/>
              <w:jc w:val="both"/>
            </w:pPr>
            <w:r>
              <w:rPr>
                <w:rFonts w:ascii="仿宋_GB2312" w:hAnsi="仿宋_GB2312" w:cs="仿宋_GB2312" w:eastAsia="仿宋_GB2312"/>
                <w:sz w:val="28"/>
                <w:color w:val="000000"/>
              </w:rPr>
              <w:t>8</w:t>
            </w:r>
            <w:r>
              <w:rPr>
                <w:rFonts w:ascii="仿宋_GB2312" w:hAnsi="仿宋_GB2312" w:cs="仿宋_GB2312" w:eastAsia="仿宋_GB2312"/>
                <w:sz w:val="28"/>
                <w:color w:val="000000"/>
              </w:rPr>
              <w:t>、公共区域照明配置；</w:t>
            </w:r>
          </w:p>
          <w:p>
            <w:pPr>
              <w:pStyle w:val="null3"/>
              <w:ind w:firstLine="560"/>
              <w:jc w:val="both"/>
            </w:pPr>
            <w:r>
              <w:rPr>
                <w:rFonts w:ascii="仿宋_GB2312" w:hAnsi="仿宋_GB2312" w:cs="仿宋_GB2312" w:eastAsia="仿宋_GB2312"/>
                <w:sz w:val="28"/>
                <w:color w:val="000000"/>
              </w:rPr>
              <w:t>以上配套设施的日常维护、保养、翻新更换均由乙方负责，费用已包含在年租金中，不再另行计算。</w:t>
            </w:r>
          </w:p>
          <w:p>
            <w:pPr>
              <w:pStyle w:val="null3"/>
              <w:ind w:firstLine="561"/>
              <w:jc w:val="both"/>
            </w:pPr>
            <w:r>
              <w:rPr>
                <w:rFonts w:ascii="仿宋_GB2312" w:hAnsi="仿宋_GB2312" w:cs="仿宋_GB2312" w:eastAsia="仿宋_GB2312"/>
                <w:sz w:val="28"/>
                <w:b/>
                <w:color w:val="000000"/>
              </w:rPr>
              <w:t>（三）移交时间</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color w:val="000000"/>
              </w:rPr>
              <w:t>乙方应在合同签订之日起将租赁的所有办公区域、宿办、餐厅、场地及附属设施移交甲方使用。双方对租赁场所现状、配套设施与设备的完成程度检查确认，乙方负责移交甲方进驻的各有关科室，确保甲方按期开展对外办公业务。对于未完成或使用中存在缺陷的配套设施、设备，乙方应按甲方要求限期整改，拒不整改或整改不合格的，甲方有权委托第三方整改，但相关费用由乙方承担。</w:t>
            </w:r>
          </w:p>
          <w:p>
            <w:pPr>
              <w:pStyle w:val="null3"/>
              <w:ind w:firstLine="560"/>
              <w:jc w:val="both"/>
            </w:pPr>
            <w:r>
              <w:rPr>
                <w:rFonts w:ascii="仿宋_GB2312" w:hAnsi="仿宋_GB2312" w:cs="仿宋_GB2312" w:eastAsia="仿宋_GB2312"/>
                <w:sz w:val="28"/>
                <w:color w:val="000000"/>
              </w:rPr>
              <w:t>二、租赁用途</w:t>
            </w:r>
          </w:p>
          <w:p>
            <w:pPr>
              <w:pStyle w:val="null3"/>
              <w:ind w:firstLine="560"/>
              <w:jc w:val="both"/>
            </w:pPr>
            <w:r>
              <w:rPr>
                <w:rFonts w:ascii="仿宋_GB2312" w:hAnsi="仿宋_GB2312" w:cs="仿宋_GB2312" w:eastAsia="仿宋_GB2312"/>
                <w:sz w:val="28"/>
                <w:color w:val="000000"/>
              </w:rPr>
              <w:t>租赁场地及附属设施、房屋用于甲方车管大队西区分所对外新车检测照相、挂牌变更过户等车、驾管业务办理；甲方</w:t>
            </w:r>
            <w:r>
              <w:rPr>
                <w:rFonts w:ascii="仿宋_GB2312" w:hAnsi="仿宋_GB2312" w:cs="仿宋_GB2312" w:eastAsia="仿宋_GB2312"/>
                <w:sz w:val="28"/>
              </w:rPr>
              <w:t>机动车驾驶人科目一、四考试及候考大厅、临时档案库；甲方干警及工作人员宿办生活用房等用途。</w:t>
            </w:r>
          </w:p>
          <w:p>
            <w:pPr>
              <w:pStyle w:val="null3"/>
              <w:jc w:val="both"/>
            </w:pPr>
            <w:r>
              <w:rPr>
                <w:rFonts w:ascii="仿宋_GB2312" w:hAnsi="仿宋_GB2312" w:cs="仿宋_GB2312" w:eastAsia="仿宋_GB2312"/>
                <w:sz w:val="28"/>
              </w:rPr>
              <w:t xml:space="preserve">    三、租赁期限</w:t>
            </w:r>
          </w:p>
          <w:p>
            <w:pPr>
              <w:pStyle w:val="null3"/>
              <w:ind w:firstLine="560"/>
              <w:jc w:val="both"/>
            </w:pPr>
            <w:r>
              <w:rPr>
                <w:rFonts w:ascii="仿宋_GB2312" w:hAnsi="仿宋_GB2312" w:cs="仿宋_GB2312" w:eastAsia="仿宋_GB2312"/>
                <w:sz w:val="28"/>
              </w:rPr>
              <w:t>自</w:t>
            </w:r>
            <w:r>
              <w:rPr>
                <w:rFonts w:ascii="仿宋_GB2312" w:hAnsi="仿宋_GB2312" w:cs="仿宋_GB2312" w:eastAsia="仿宋_GB2312"/>
                <w:sz w:val="28"/>
                <w:u w:val="single"/>
              </w:rPr>
              <w:t xml:space="preserve"> 2025</w:t>
            </w:r>
            <w:r>
              <w:rPr>
                <w:rFonts w:ascii="仿宋_GB2312" w:hAnsi="仿宋_GB2312" w:cs="仿宋_GB2312" w:eastAsia="仿宋_GB2312"/>
                <w:sz w:val="28"/>
                <w:u w:val="single"/>
              </w:rPr>
              <w:t>年</w:t>
            </w:r>
            <w:r>
              <w:rPr>
                <w:rFonts w:ascii="仿宋_GB2312" w:hAnsi="仿宋_GB2312" w:cs="仿宋_GB2312" w:eastAsia="仿宋_GB2312"/>
                <w:sz w:val="28"/>
                <w:u w:val="single"/>
              </w:rPr>
              <w:t>07</w:t>
            </w:r>
            <w:r>
              <w:rPr>
                <w:rFonts w:ascii="仿宋_GB2312" w:hAnsi="仿宋_GB2312" w:cs="仿宋_GB2312" w:eastAsia="仿宋_GB2312"/>
                <w:sz w:val="28"/>
                <w:u w:val="single"/>
              </w:rPr>
              <w:t>月</w:t>
            </w:r>
            <w:r>
              <w:rPr>
                <w:rFonts w:ascii="仿宋_GB2312" w:hAnsi="仿宋_GB2312" w:cs="仿宋_GB2312" w:eastAsia="仿宋_GB2312"/>
                <w:sz w:val="28"/>
                <w:u w:val="single"/>
              </w:rPr>
              <w:t>01</w:t>
            </w:r>
            <w:r>
              <w:rPr>
                <w:rFonts w:ascii="仿宋_GB2312" w:hAnsi="仿宋_GB2312" w:cs="仿宋_GB2312" w:eastAsia="仿宋_GB2312"/>
                <w:sz w:val="28"/>
                <w:u w:val="single"/>
              </w:rPr>
              <w:t>日至</w:t>
            </w:r>
            <w:r>
              <w:rPr>
                <w:rFonts w:ascii="仿宋_GB2312" w:hAnsi="仿宋_GB2312" w:cs="仿宋_GB2312" w:eastAsia="仿宋_GB2312"/>
                <w:sz w:val="28"/>
                <w:u w:val="single"/>
              </w:rPr>
              <w:t>2026</w:t>
            </w:r>
            <w:r>
              <w:rPr>
                <w:rFonts w:ascii="仿宋_GB2312" w:hAnsi="仿宋_GB2312" w:cs="仿宋_GB2312" w:eastAsia="仿宋_GB2312"/>
                <w:sz w:val="28"/>
                <w:u w:val="single"/>
              </w:rPr>
              <w:t>年</w:t>
            </w:r>
            <w:r>
              <w:rPr>
                <w:rFonts w:ascii="仿宋_GB2312" w:hAnsi="仿宋_GB2312" w:cs="仿宋_GB2312" w:eastAsia="仿宋_GB2312"/>
                <w:sz w:val="28"/>
                <w:u w:val="single"/>
              </w:rPr>
              <w:t>06</w:t>
            </w:r>
            <w:r>
              <w:rPr>
                <w:rFonts w:ascii="仿宋_GB2312" w:hAnsi="仿宋_GB2312" w:cs="仿宋_GB2312" w:eastAsia="仿宋_GB2312"/>
                <w:sz w:val="28"/>
                <w:u w:val="single"/>
              </w:rPr>
              <w:t>月</w:t>
            </w:r>
            <w:r>
              <w:rPr>
                <w:rFonts w:ascii="仿宋_GB2312" w:hAnsi="仿宋_GB2312" w:cs="仿宋_GB2312" w:eastAsia="仿宋_GB2312"/>
                <w:sz w:val="28"/>
                <w:u w:val="single"/>
              </w:rPr>
              <w:t>30</w:t>
            </w:r>
            <w:r>
              <w:rPr>
                <w:rFonts w:ascii="仿宋_GB2312" w:hAnsi="仿宋_GB2312" w:cs="仿宋_GB2312" w:eastAsia="仿宋_GB2312"/>
                <w:sz w:val="28"/>
                <w:u w:val="single"/>
              </w:rPr>
              <w:t>日</w:t>
            </w:r>
            <w:r>
              <w:rPr>
                <w:rFonts w:ascii="仿宋_GB2312" w:hAnsi="仿宋_GB2312" w:cs="仿宋_GB2312" w:eastAsia="仿宋_GB2312"/>
                <w:sz w:val="28"/>
              </w:rPr>
              <w:t>止，租期总计</w:t>
            </w:r>
            <w:r>
              <w:rPr>
                <w:rFonts w:ascii="仿宋_GB2312" w:hAnsi="仿宋_GB2312" w:cs="仿宋_GB2312" w:eastAsia="仿宋_GB2312"/>
                <w:sz w:val="28"/>
                <w:u w:val="single"/>
              </w:rPr>
              <w:t>壹</w:t>
            </w:r>
            <w:r>
              <w:rPr>
                <w:rFonts w:ascii="仿宋_GB2312" w:hAnsi="仿宋_GB2312" w:cs="仿宋_GB2312" w:eastAsia="仿宋_GB2312"/>
                <w:sz w:val="28"/>
              </w:rPr>
              <w:t>年。期满后乙方继续出租给甲方，甲方应提前两个月与乙方协商并重新签订合同。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乙方负责按照以下要求提供相关附属设施： 1、按标定功率面积配置空调； 2、根据不同业务部门制定相应统一标识门头、导向标识牌、指路牌、业务窗口标识牌等； 3、在办公区域内设置安保监控系统； 4、整个办公区域与外界隔离设施制安； 5、办公区域内不同场地标志标线施划及分区（道）隔离带制安，防盗安全设施制安等； 6、消防预警系统安全设施设备的配置； 7、设置公共卫生间； 8、公共区域照明配置； 以上配套设施的日常维护、保养、翻新更换均由乙方负责，费用已包含在年租金中，不再另行计算。</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 2025年07月01日至2026年06月30日 止，租期总计壹年。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西安市长安区斗门街道办事处镐京村108国道北侧（西安沣东新城西户路中段8号）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甲方接收场地、宿办区域及附属设施，且收到正式发票后，一次性支付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（一）租赁场所及附属设施属于正常使用的办公及宿办场地，租赁期内如有发生不适使用情形，乙方应在甲方通知后尽快予以修复。 （二）在正常使用时易损设备的损坏，由乙方负责修理更换，费用由乙方自理。 （三）租赁场地、宿办区域因建筑在质量或自然损耗场所造成的地面下沉、渗漏、裂缝或设施损坏的，由乙方负责维修，费用由乙方承担。</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一）合同期内因租赁场地或附属设施产权纠纷、债务纠纷等法律纠纷或其它纠纷，致使甲方不能办公的，甲方有权解除合同，乙方应按照年租金的30％承担违约责任及赔偿因此使甲方遭受的全部损失(包括但不限于实际损失、可期待利益、律师费）。 （二）合同签订后，乙方逾期交付租赁场地、宿办区域及附属设施的，每逾期一日按照年租金的百分之五承担违约责任。逾期累计10天以上的，甲方有权解除合同。 （三）租赁期内乙方向第三人出售、出租场地、宿办区域及附属设施的，甲方有权解除合同，乙方应按照年租金的30％承担违约责任及赔偿因此使甲方遭受的全部损失(包括但不限于实际损失、可期待利益、律师费）。 （四）租赁期内，乙方未按照合同约定或按甲方要求对宿办区域、场地及附属设施进行维修的，甲方有权委托第三方维修，但相关费用由乙方承担，甲方有权从年租金中予以扣除。 （五）乙方应在收到解除通知后 3 天内退还已收取的租金，并赔偿甲方因解除合同所遭受的损失，损失无法计算的，每日应按合同价款的千分之五累计计算。合同中约定的违约条款可合并适用，合并适用后仍不能弥补甲方损失的，甲方有权继续追偿，但最高不得超过实际损失的30％。 （六）合同期内，甲方违约造成乙方损失的，应当按照《合同法》规定承担损害赔偿责任。 二、合同争议的解决方式 本合同未尽事宜及争议，由双方协商解决，协商不成的，有权向甲方住所人民法院提起诉讼。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8.资格证明文件.docx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财务状况报告：提供审计事务所出具的2023年度或2024年度的财务报告，包括 “四表一注”（即资产负债表、利润表、现金流量表、所有者权益变动表（若有）及其附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税收缴纳证明：提供已缴纳的本年度或上年度任一月份的纳税证明或完税证明，纳税证明或完税证明上应有代收机构或税务机关的公章。依法免税的投标人应提供相关文件证明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已缴存的本年度或上年度任一月份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提供具有履行本合同所必需的设备和专业技术能力的说明及承诺;（提供书面说明承诺，加盖供应商公章）</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8.资格证明文件.docx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法定代表人授权委托书：非法定代表人参加投标的，须提供法定代表人授权委托书及被授权人身份证复印件；法定代表人参加投标时,须提供法定代表人身份证明及身份证复印件；(式样见投标文件格式)</w:t>
            </w:r>
          </w:p>
        </w:tc>
        <w:tc>
          <w:tcPr>
            <w:tcW w:type="dxa" w:w="1661"/>
          </w:tcPr>
          <w:p>
            <w:pPr>
              <w:pStyle w:val="null3"/>
            </w:pPr>
            <w:r>
              <w:rPr>
                <w:rFonts w:ascii="仿宋_GB2312" w:hAnsi="仿宋_GB2312" w:cs="仿宋_GB2312" w:eastAsia="仿宋_GB2312"/>
              </w:rPr>
              <w:t>7.法定代表人授权委托书.docx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信用信息查询：不得为“信用中国”网站(http://www.creditchina.gov.cn)列入“重大税收违法 失信主体、政府采购严重违法失信行为记录名单”的投标人； 不得为中国政府采购网(http://www.ccgp.gov.cn)“政府采购严重违法失信行为记录名单”中的投标人； 不得为中国执行信息公开网“失信被执行人” (根据财库【2019】38号文规定，此项由采购人或采购代理机构在开标截止日当天在“信用中国”网站和中国政府采购网站进行查询，截图留档；如网站无供应商信息的，供应商须提供相关证明资料或书面声明）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8.资格证明文件.docx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中小企业声明函</w:t>
            </w:r>
          </w:p>
        </w:tc>
        <w:tc>
          <w:tcPr>
            <w:tcW w:type="dxa" w:w="1661"/>
          </w:tcPr>
          <w:p>
            <w:pPr>
              <w:pStyle w:val="null3"/>
            </w:pPr>
            <w:r>
              <w:rPr>
                <w:rFonts w:ascii="仿宋_GB2312" w:hAnsi="仿宋_GB2312" w:cs="仿宋_GB2312" w:eastAsia="仿宋_GB2312"/>
              </w:rPr>
              <w:t>13.中小企业声明函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7.法定代表人授权委托书.docx 4.分项报价表.docx 14.残疾人福利性单位声明函 12.供应商认为有必要补充说明的事宜.docx 3.报价表 2.响应函 16.标的清单 8.资格证明文件.docx 1.响应文件封面 5.服务响应偏离表（格式）.docx 10.陕西省政府采购供应商拒绝政府采购领域商业贿赂承诺书.docx 6.商务条款响应偏离表（格式）.docx 13.中小企业声明函 15.监狱企业的证明文件 11.协商声明书.docx 9.服务方案</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4.分项报价表.docx 3.报价表 2.响应函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7.法定代表人授权委托书.docx 4.分项报价表.docx 14.残疾人福利性单位声明函 12.供应商认为有必要补充说明的事宜.docx 3.报价表 2.响应函 16.标的清单 8.资格证明文件.docx 1.响应文件封面 5.服务响应偏离表（格式）.docx 10.陕西省政府采购供应商拒绝政府采购领域商业贿赂承诺书.docx 6.商务条款响应偏离表（格式）.docx 13.中小企业声明函 15.监狱企业的证明文件 11.协商声明书.docx 9.服务方案</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详见附件：3.报价表</w:t>
      </w:r>
    </w:p>
    <w:p>
      <w:pPr>
        <w:pStyle w:val="null3"/>
        <w:ind w:firstLine="960"/>
      </w:pPr>
      <w:r>
        <w:rPr>
          <w:rFonts w:ascii="仿宋_GB2312" w:hAnsi="仿宋_GB2312" w:cs="仿宋_GB2312" w:eastAsia="仿宋_GB2312"/>
        </w:rPr>
        <w:t>详见附件：4.分项报价表.docx</w:t>
      </w:r>
    </w:p>
    <w:p>
      <w:pPr>
        <w:pStyle w:val="null3"/>
        <w:ind w:firstLine="960"/>
      </w:pPr>
      <w:r>
        <w:rPr>
          <w:rFonts w:ascii="仿宋_GB2312" w:hAnsi="仿宋_GB2312" w:cs="仿宋_GB2312" w:eastAsia="仿宋_GB2312"/>
        </w:rPr>
        <w:t>详见附件：5.服务响应偏离表（格式）.docx</w:t>
      </w:r>
    </w:p>
    <w:p>
      <w:pPr>
        <w:pStyle w:val="null3"/>
        <w:ind w:firstLine="960"/>
      </w:pPr>
      <w:r>
        <w:rPr>
          <w:rFonts w:ascii="仿宋_GB2312" w:hAnsi="仿宋_GB2312" w:cs="仿宋_GB2312" w:eastAsia="仿宋_GB2312"/>
        </w:rPr>
        <w:t>详见附件：6.商务条款响应偏离表（格式）.docx</w:t>
      </w:r>
    </w:p>
    <w:p>
      <w:pPr>
        <w:pStyle w:val="null3"/>
        <w:ind w:firstLine="960"/>
      </w:pPr>
      <w:r>
        <w:rPr>
          <w:rFonts w:ascii="仿宋_GB2312" w:hAnsi="仿宋_GB2312" w:cs="仿宋_GB2312" w:eastAsia="仿宋_GB2312"/>
        </w:rPr>
        <w:t>详见附件：7.法定代表人授权委托书.docx</w:t>
      </w:r>
    </w:p>
    <w:p>
      <w:pPr>
        <w:pStyle w:val="null3"/>
        <w:ind w:firstLine="960"/>
      </w:pPr>
      <w:r>
        <w:rPr>
          <w:rFonts w:ascii="仿宋_GB2312" w:hAnsi="仿宋_GB2312" w:cs="仿宋_GB2312" w:eastAsia="仿宋_GB2312"/>
        </w:rPr>
        <w:t>详见附件：8.资格证明文件.docx</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详见附件：10.陕西省政府采购供应商拒绝政府采购领域商业贿赂承诺书.docx</w:t>
      </w:r>
    </w:p>
    <w:p>
      <w:pPr>
        <w:pStyle w:val="null3"/>
        <w:ind w:firstLine="960"/>
      </w:pPr>
      <w:r>
        <w:rPr>
          <w:rFonts w:ascii="仿宋_GB2312" w:hAnsi="仿宋_GB2312" w:cs="仿宋_GB2312" w:eastAsia="仿宋_GB2312"/>
        </w:rPr>
        <w:t>详见附件：11.协商声明书.docx</w:t>
      </w:r>
    </w:p>
    <w:p>
      <w:pPr>
        <w:pStyle w:val="null3"/>
        <w:ind w:firstLine="960"/>
      </w:pPr>
      <w:r>
        <w:rPr>
          <w:rFonts w:ascii="仿宋_GB2312" w:hAnsi="仿宋_GB2312" w:cs="仿宋_GB2312" w:eastAsia="仿宋_GB2312"/>
        </w:rPr>
        <w:t>详见附件：12.供应商认为有必要补充说明的事宜.docx</w:t>
      </w:r>
    </w:p>
    <w:p>
      <w:pPr>
        <w:pStyle w:val="null3"/>
        <w:ind w:firstLine="960"/>
      </w:pPr>
      <w:r>
        <w:rPr>
          <w:rFonts w:ascii="仿宋_GB2312" w:hAnsi="仿宋_GB2312" w:cs="仿宋_GB2312" w:eastAsia="仿宋_GB2312"/>
        </w:rPr>
        <w:t>详见附件：13.中小企业声明函</w:t>
      </w:r>
    </w:p>
    <w:p>
      <w:pPr>
        <w:pStyle w:val="null3"/>
        <w:ind w:firstLine="960"/>
      </w:pPr>
      <w:r>
        <w:rPr>
          <w:rFonts w:ascii="仿宋_GB2312" w:hAnsi="仿宋_GB2312" w:cs="仿宋_GB2312" w:eastAsia="仿宋_GB2312"/>
        </w:rPr>
        <w:t>详见附件：14.残疾人福利性单位声明函</w:t>
      </w:r>
    </w:p>
    <w:p>
      <w:pPr>
        <w:pStyle w:val="null3"/>
        <w:ind w:firstLine="960"/>
      </w:pPr>
      <w:r>
        <w:rPr>
          <w:rFonts w:ascii="仿宋_GB2312" w:hAnsi="仿宋_GB2312" w:cs="仿宋_GB2312" w:eastAsia="仿宋_GB2312"/>
        </w:rPr>
        <w:t>详见附件：15.监狱企业的证明文件</w:t>
      </w:r>
    </w:p>
    <w:p>
      <w:pPr>
        <w:pStyle w:val="null3"/>
        <w:ind w:firstLine="960"/>
      </w:pPr>
      <w:r>
        <w:rPr>
          <w:rFonts w:ascii="仿宋_GB2312" w:hAnsi="仿宋_GB2312" w:cs="仿宋_GB2312" w:eastAsia="仿宋_GB2312"/>
        </w:rPr>
        <w:t>详见附件：16.标的清单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详见附件：车管处西所租赁合同6.6.docx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