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版本号：ZXCG-XA-2025-00820250618001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血细胞分离机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ZXCG-XA-2025-008</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血细胞分离机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ZXCG-XA-2025-008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血细胞分离机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血细胞分离机，5台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非法定代表人参加投标的，须提供法定代表人委托授权书、授权代表身份证、授权代表提供在投标单位缴纳的社保记录（近3个月内）；法定代表人参加投标时,只需提供法定代表人身份证。</w:t>
      </w:r>
    </w:p>
    <w:p>
      <w:pPr>
        <w:pStyle w:val="null3"/>
      </w:pPr>
      <w:r>
        <w:rPr>
          <w:rFonts w:ascii="仿宋_GB2312" w:hAnsi="仿宋_GB2312" w:cs="仿宋_GB2312" w:eastAsia="仿宋_GB2312"/>
        </w:rPr>
        <w:t>2、资质：投标人如为代理商的须提供《医疗器械经营许可证》(或《医疗器械经营备案凭证 》)与制造商的《医疗器械生产许可证》(或《医疗器械生产备案凭证》)；投标人如为制造商的须提供《医疗器械生产许可证》或《医疗器械生产备案凭证》;投标产品属于医疗器械管理，需提供医疗器械注册证或备案凭证;投标产品为进口产品须提供产品制造厂商针对该产品完整的授权书。</w:t>
      </w:r>
    </w:p>
    <w:p>
      <w:pPr>
        <w:pStyle w:val="null3"/>
      </w:pPr>
      <w:r>
        <w:rPr>
          <w:rFonts w:ascii="仿宋_GB2312" w:hAnsi="仿宋_GB2312" w:cs="仿宋_GB2312" w:eastAsia="仿宋_GB2312"/>
        </w:rPr>
        <w:t>3、信用记录：投标人应在投标截止日前在信用中国（www.creditchina.gov.cn）未被列入失信被执行人、重大税收违法案件当事人名单和在中国政府采购网（www.ccgp.gov.cn）未被列入政府采购严重违法失信行为记录名单（处罚期限届满的除外，如相关失信记录已失效，投标人需提供相关证明资料）。</w:t>
      </w:r>
    </w:p>
    <w:p>
      <w:pPr>
        <w:pStyle w:val="null3"/>
      </w:pPr>
      <w:r>
        <w:rPr>
          <w:rFonts w:ascii="仿宋_GB2312" w:hAnsi="仿宋_GB2312" w:cs="仿宋_GB2312" w:eastAsia="仿宋_GB2312"/>
        </w:rPr>
        <w:t>4、承诺书：投标人提供非我站职工及其亲属投资举办的企业承诺书。</w:t>
      </w:r>
    </w:p>
    <w:p>
      <w:pPr>
        <w:pStyle w:val="null3"/>
      </w:pPr>
      <w:r>
        <w:rPr>
          <w:rFonts w:ascii="仿宋_GB2312" w:hAnsi="仿宋_GB2312" w:cs="仿宋_GB2312" w:eastAsia="仿宋_GB2312"/>
        </w:rPr>
        <w:t>5、质量保证：投标人提供质量保证承诺书。</w:t>
      </w:r>
    </w:p>
    <w:p>
      <w:pPr>
        <w:pStyle w:val="null3"/>
      </w:pPr>
      <w:r>
        <w:rPr>
          <w:rFonts w:ascii="仿宋_GB2312" w:hAnsi="仿宋_GB2312" w:cs="仿宋_GB2312" w:eastAsia="仿宋_GB2312"/>
        </w:rPr>
        <w:t>6、其它：投标人不得存在下列情形之一：①单位负责人为同一人或者存在直接控股、管理关系的不同投 标人，不得参加同一合同项下的政府采购活动；②为本项目提供整体设计、规范编制或者项目 管理、监理、检测等服务的投标人，不得再参加该采购项目的其他采购活动。</w:t>
      </w:r>
    </w:p>
    <w:p>
      <w:pPr>
        <w:pStyle w:val="null3"/>
      </w:pPr>
      <w:r>
        <w:rPr>
          <w:rFonts w:ascii="仿宋_GB2312" w:hAnsi="仿宋_GB2312" w:cs="仿宋_GB2312" w:eastAsia="仿宋_GB2312"/>
        </w:rPr>
        <w:t>7、联合体：投标人提供非联合体投标承诺书。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029-85212746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陕西省西安市未央区大明宫西荣民.中央国际10层1003室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17342379442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关于印发&lt;招标代理服务收费管理暂行办法&gt;的通知》（计价格[2002]1980号）和国家发展改革委员会办公厅颁发的《关于招标代理服务收费有关问题的通知》（发改办价格[2003] 857号）规定下浮10%收取,不足5000元按5000元计取。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联系人：王茜</w:t>
      </w:r>
    </w:p>
    <w:p>
      <w:pPr>
        <w:pStyle w:val="null3"/>
      </w:pPr>
      <w:r>
        <w:rPr>
          <w:rFonts w:ascii="仿宋_GB2312" w:hAnsi="仿宋_GB2312" w:cs="仿宋_GB2312" w:eastAsia="仿宋_GB2312"/>
        </w:rPr>
        <w:t>联系电话：17342379442</w:t>
      </w:r>
    </w:p>
    <w:p>
      <w:pPr>
        <w:pStyle w:val="null3"/>
      </w:pPr>
      <w:r>
        <w:rPr>
          <w:rFonts w:ascii="仿宋_GB2312" w:hAnsi="仿宋_GB2312" w:cs="仿宋_GB2312" w:eastAsia="仿宋_GB2312"/>
        </w:rPr>
        <w:t>地址：陕西省西安市未央区大明宫西荣民.中央国际10层1003室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血细胞分离机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血细胞分离机</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标的名称：血细胞分离机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采购内容（包括采购品目、规格和数量）</w:t>
            </w:r>
          </w:p>
          <w:p>
            <w:pPr>
              <w:pStyle w:val="null3"/>
              <w:ind w:firstLine="560"/>
              <w:jc w:val="both"/>
            </w:pPr>
            <w:r>
              <w:rPr>
                <w:rFonts w:ascii="仿宋_GB2312" w:hAnsi="仿宋_GB2312" w:cs="仿宋_GB2312" w:eastAsia="仿宋_GB2312"/>
                <w:sz w:val="28"/>
              </w:rPr>
              <w:t>名称：</w:t>
            </w:r>
            <w:r>
              <w:rPr>
                <w:rFonts w:ascii="仿宋_GB2312" w:hAnsi="仿宋_GB2312" w:cs="仿宋_GB2312" w:eastAsia="仿宋_GB2312"/>
                <w:sz w:val="28"/>
              </w:rPr>
              <w:t>血细胞分离机（进口）</w:t>
            </w:r>
          </w:p>
          <w:p>
            <w:pPr>
              <w:pStyle w:val="null3"/>
              <w:ind w:firstLine="560"/>
              <w:jc w:val="both"/>
            </w:pPr>
            <w:r>
              <w:rPr>
                <w:rFonts w:ascii="仿宋_GB2312" w:hAnsi="仿宋_GB2312" w:cs="仿宋_GB2312" w:eastAsia="仿宋_GB2312"/>
                <w:sz w:val="28"/>
              </w:rPr>
              <w:t>数量：</w:t>
            </w:r>
            <w:r>
              <w:rPr>
                <w:rFonts w:ascii="仿宋_GB2312" w:hAnsi="仿宋_GB2312" w:cs="仿宋_GB2312" w:eastAsia="仿宋_GB2312"/>
                <w:sz w:val="28"/>
              </w:rPr>
              <w:t>5</w:t>
            </w:r>
            <w:r>
              <w:rPr>
                <w:rFonts w:ascii="仿宋_GB2312" w:hAnsi="仿宋_GB2312" w:cs="仿宋_GB2312" w:eastAsia="仿宋_GB2312"/>
                <w:sz w:val="28"/>
              </w:rPr>
              <w:t>台</w:t>
            </w:r>
          </w:p>
          <w:p>
            <w:pPr>
              <w:pStyle w:val="null3"/>
              <w:spacing w:before="315"/>
              <w:ind w:left="420"/>
              <w:jc w:val="both"/>
            </w:pPr>
            <w:r>
              <w:rPr>
                <w:rFonts w:ascii="仿宋_GB2312" w:hAnsi="仿宋_GB2312" w:cs="仿宋_GB2312" w:eastAsia="仿宋_GB2312"/>
                <w:sz w:val="28"/>
                <w:b/>
              </w:rPr>
              <w:t>技术要求</w:t>
            </w:r>
          </w:p>
          <w:p>
            <w:pPr>
              <w:pStyle w:val="null3"/>
              <w:ind w:firstLine="560"/>
              <w:jc w:val="both"/>
            </w:pPr>
            <w:r>
              <w:rPr>
                <w:rFonts w:ascii="仿宋_GB2312" w:hAnsi="仿宋_GB2312" w:cs="仿宋_GB2312" w:eastAsia="仿宋_GB2312"/>
                <w:sz w:val="28"/>
              </w:rPr>
              <w:t>1、体积小，重量轻，可安置于献血车上，无需生理盐水预充，采集后即得到成品。</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、可以同时从一名献血者身上收集任意组合的血浆、血小板、红细胞成份。</w:t>
            </w:r>
          </w:p>
          <w:p>
            <w:pPr>
              <w:pStyle w:val="null3"/>
              <w:ind w:firstLine="560"/>
              <w:jc w:val="both"/>
            </w:pPr>
            <w:r>
              <w:rPr>
                <w:rFonts w:ascii="仿宋_GB2312" w:hAnsi="仿宋_GB2312" w:cs="仿宋_GB2312" w:eastAsia="仿宋_GB2312"/>
                <w:sz w:val="28"/>
              </w:rPr>
              <w:t>3、采集成品为去白细胞单采血小板，采集的产品质量符合GB 18469-2012《全血及成分血质量要求》的要求，血小板含量≥2.5×1011个/袋，白细胞残留量≤5.0×106个/袋。</w:t>
            </w:r>
          </w:p>
          <w:p>
            <w:pPr>
              <w:pStyle w:val="null3"/>
              <w:ind w:firstLine="560"/>
              <w:jc w:val="both"/>
            </w:pPr>
            <w:r>
              <w:rPr>
                <w:rFonts w:ascii="仿宋_GB2312" w:hAnsi="仿宋_GB2312" w:cs="仿宋_GB2312" w:eastAsia="仿宋_GB2312"/>
                <w:sz w:val="28"/>
              </w:rPr>
              <w:t>4、具有红细胞探测器，避免冲红发生，保证每袋血小板产品中红细胞含量≤1</w:t>
            </w:r>
            <w:r>
              <w:rPr>
                <w:rFonts w:ascii="仿宋_GB2312" w:hAnsi="仿宋_GB2312" w:cs="仿宋_GB2312" w:eastAsia="仿宋_GB2312"/>
                <w:sz w:val="28"/>
              </w:rPr>
              <w:t>x</w:t>
            </w:r>
            <w:r>
              <w:rPr>
                <w:rFonts w:ascii="仿宋_GB2312" w:hAnsi="仿宋_GB2312" w:cs="仿宋_GB2312" w:eastAsia="仿宋_GB2312"/>
                <w:sz w:val="28"/>
              </w:rPr>
              <w:t>109个。</w:t>
            </w:r>
          </w:p>
          <w:p>
            <w:pPr>
              <w:pStyle w:val="null3"/>
              <w:ind w:firstLine="560"/>
              <w:jc w:val="both"/>
            </w:pPr>
            <w:r>
              <w:rPr>
                <w:rFonts w:ascii="仿宋_GB2312" w:hAnsi="仿宋_GB2312" w:cs="仿宋_GB2312" w:eastAsia="仿宋_GB2312"/>
                <w:sz w:val="28"/>
              </w:rPr>
              <w:t>5、单针采集，能提前预估采后计数。</w:t>
            </w:r>
          </w:p>
          <w:p>
            <w:pPr>
              <w:pStyle w:val="null3"/>
              <w:ind w:firstLine="560"/>
              <w:jc w:val="both"/>
            </w:pPr>
            <w:r>
              <w:rPr>
                <w:rFonts w:ascii="仿宋_GB2312" w:hAnsi="仿宋_GB2312" w:cs="仿宋_GB2312" w:eastAsia="仿宋_GB2312"/>
                <w:sz w:val="28"/>
              </w:rPr>
              <w:t>6、具有采血、分离、回输等功能，可根据献血者性别、身高、体重自动计算出采血速度、回血速度及抗凝剂速度，并具备抗凝剂动态流速流量监测，抗凝剂灌注率可调，自动对采集过程的液体压力、流速，及空气、离心机漏液（血）探测监测。</w:t>
            </w:r>
          </w:p>
          <w:p>
            <w:pPr>
              <w:pStyle w:val="null3"/>
              <w:ind w:firstLine="560"/>
              <w:jc w:val="both"/>
            </w:pPr>
            <w:r>
              <w:rPr>
                <w:rFonts w:ascii="仿宋_GB2312" w:hAnsi="仿宋_GB2312" w:cs="仿宋_GB2312" w:eastAsia="仿宋_GB2312"/>
                <w:sz w:val="28"/>
              </w:rPr>
              <w:t>7、连续式离心分离方式。</w:t>
            </w:r>
          </w:p>
          <w:p>
            <w:pPr>
              <w:pStyle w:val="null3"/>
              <w:ind w:firstLine="560"/>
              <w:jc w:val="both"/>
            </w:pPr>
            <w:r>
              <w:rPr>
                <w:rFonts w:ascii="仿宋_GB2312" w:hAnsi="仿宋_GB2312" w:cs="仿宋_GB2312" w:eastAsia="仿宋_GB2312"/>
                <w:sz w:val="28"/>
              </w:rPr>
              <w:t>8、具有保护献血者采集安全的装置，从采后血小板计数，红细胞压积，采集时间，采集最大体积等方面来保护献血者安全；瞬时离体血量不超过全血容量的15%。</w:t>
            </w:r>
          </w:p>
          <w:p>
            <w:pPr>
              <w:pStyle w:val="null3"/>
              <w:ind w:firstLine="560"/>
              <w:jc w:val="both"/>
            </w:pPr>
            <w:r>
              <w:rPr>
                <w:rFonts w:ascii="仿宋_GB2312" w:hAnsi="仿宋_GB2312" w:cs="仿宋_GB2312" w:eastAsia="仿宋_GB2312"/>
                <w:sz w:val="28"/>
              </w:rPr>
              <w:t>9、可自行设置血小板浓度和体积，可采集高浓度血小板；</w:t>
            </w:r>
          </w:p>
          <w:p>
            <w:pPr>
              <w:pStyle w:val="null3"/>
              <w:ind w:firstLine="560"/>
              <w:jc w:val="both"/>
            </w:pPr>
            <w:r>
              <w:rPr>
                <w:rFonts w:ascii="仿宋_GB2312" w:hAnsi="仿宋_GB2312" w:cs="仿宋_GB2312" w:eastAsia="仿宋_GB2312"/>
                <w:sz w:val="28"/>
              </w:rPr>
              <w:t>10、具有减少管路中残留红细胞的技术，回输完成后管路内残留红细胞量≤25ml。</w:t>
            </w:r>
          </w:p>
          <w:p>
            <w:pPr>
              <w:pStyle w:val="null3"/>
              <w:ind w:firstLine="560"/>
              <w:jc w:val="both"/>
            </w:pPr>
            <w:r>
              <w:rPr>
                <w:rFonts w:ascii="仿宋_GB2312" w:hAnsi="仿宋_GB2312" w:cs="仿宋_GB2312" w:eastAsia="仿宋_GB2312"/>
                <w:sz w:val="28"/>
              </w:rPr>
              <w:t>11、原厂中文版本软件，触摸式操作显示屏，图形引导，操作简洁；</w:t>
            </w:r>
          </w:p>
          <w:p>
            <w:pPr>
              <w:pStyle w:val="null3"/>
              <w:ind w:firstLine="560"/>
              <w:jc w:val="both"/>
            </w:pPr>
            <w:r>
              <w:rPr>
                <w:rFonts w:ascii="仿宋_GB2312" w:hAnsi="仿宋_GB2312" w:cs="仿宋_GB2312" w:eastAsia="仿宋_GB2312"/>
                <w:sz w:val="28"/>
              </w:rPr>
              <w:t>12、设备在外接硬件支持下，负责接入血站信息管理系统，可实现数据管理、数据联网和报告打印等功能。</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设备安装、验收、使用科室确认合格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整机质保期≥3年，终身维护。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本合同在履行过程中发生争议时，采购人及中标供应商双方应及时协商解决，协商或调解不成时，通过仲裁或诉讼解决。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按项目合同内容执行。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2.提供2024年1月至今已缴纳的至少一个月的纳税证明或完税证明（任意税种），依法免税的单位应提供相关证明材料。 3.提供2024年1月至今已缴纳的至少一个月的社会保障资金缴存凭证或社保机构开具的社会保险参保证明，依法不需要缴纳社会保障资金的单位应提供相关证明材料。 4.提供具有履行合同所必需的设备和专业技术能力的承诺声明。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 其他资料.docx 投标人承诺书.docx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2023年度或者2024年度财务报告（成立时间至投标文件递交截止时间不足一年的可提供成立后任意时段的资产负债表）或投标文件递交截止时间前六个月内其基本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 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 其他资料.docx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非法定代表人参加投标的，须提供法定代表人委托授权书、授权代表身份证、授权代表提供在投标单位缴纳的社保记录（近3个月内）；法定代表人参加投标时,只需提供法定代表人身份证。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投标人如为代理商的须提供《医疗器械经营许可证》(或《医疗器械经营备案凭证 》)与制造商的《医疗器械生产许可证》(或《医疗器械生产备案凭证》)；投标人如为制造商的须提供《医疗器械生产许可证》或《医疗器械生产备案凭证》;投标产品属于医疗器械管理，需提供医疗器械注册证或备案凭证;投标产品为进口产品须提供产品制造厂商针对该产品完整的授权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应在投标截止日前在信用中国（www.creditchina.gov.cn）未被列入失信被执行人、重大税收违法案件当事人名单和在中国政府采购网（www.ccgp.gov.cn）未被列入政府采购严重违法失信行为记录名单（处罚期限届满的除外，如相关失信记录已失效，投标人需提供相关证明资料）。</w:t>
            </w:r>
          </w:p>
        </w:tc>
        <w:tc>
          <w:tcPr>
            <w:tcW w:type="dxa" w:w="1661"/>
          </w:tcPr>
          <w:p>
            <w:pPr>
              <w:pStyle w:val="null3"/>
            </w:pPr>
            <w:r>
              <w:rPr>
                <w:rFonts w:ascii="仿宋_GB2312" w:hAnsi="仿宋_GB2312" w:cs="仿宋_GB2312" w:eastAsia="仿宋_GB2312"/>
              </w:rPr>
              <w:t>投标人资格证明文件.docx 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投标人提供非我站职工及其亲属投资举办的企业承诺书。</w:t>
            </w:r>
          </w:p>
        </w:tc>
        <w:tc>
          <w:tcPr>
            <w:tcW w:type="dxa" w:w="1661"/>
          </w:tcPr>
          <w:p>
            <w:pPr>
              <w:pStyle w:val="null3"/>
            </w:pPr>
            <w:r>
              <w:rPr>
                <w:rFonts w:ascii="仿宋_GB2312" w:hAnsi="仿宋_GB2312" w:cs="仿宋_GB2312" w:eastAsia="仿宋_GB2312"/>
              </w:rPr>
              <w:t>投标人资格证明文件.docx 其他资料.docx 投标人承诺书.docx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质量保证</w:t>
            </w:r>
          </w:p>
        </w:tc>
        <w:tc>
          <w:tcPr>
            <w:tcW w:type="dxa" w:w="3322"/>
          </w:tcPr>
          <w:p>
            <w:pPr>
              <w:pStyle w:val="null3"/>
            </w:pPr>
            <w:r>
              <w:rPr>
                <w:rFonts w:ascii="仿宋_GB2312" w:hAnsi="仿宋_GB2312" w:cs="仿宋_GB2312" w:eastAsia="仿宋_GB2312"/>
              </w:rPr>
              <w:t>投标人提供质量保证承诺书。</w:t>
            </w:r>
          </w:p>
        </w:tc>
        <w:tc>
          <w:tcPr>
            <w:tcW w:type="dxa" w:w="1661"/>
          </w:tcPr>
          <w:p>
            <w:pPr>
              <w:pStyle w:val="null3"/>
            </w:pPr>
            <w:r>
              <w:rPr>
                <w:rFonts w:ascii="仿宋_GB2312" w:hAnsi="仿宋_GB2312" w:cs="仿宋_GB2312" w:eastAsia="仿宋_GB2312"/>
              </w:rPr>
              <w:t>投标人资格证明文件.docx 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投标人不得存在下列情形之一：①单位负责人为同一人或者存在直接控股、管理关系的不同投 标人，不得参加同一合同项下的政府采购活动；②为本项目提供整体设计、规范编制或者项目 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投标人资格证明文件.docx 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投标人提供非联合体投标承诺书。</w:t>
            </w:r>
          </w:p>
        </w:tc>
        <w:tc>
          <w:tcPr>
            <w:tcW w:type="dxa" w:w="1661"/>
          </w:tcPr>
          <w:p>
            <w:pPr>
              <w:pStyle w:val="null3"/>
            </w:pPr>
            <w:r>
              <w:rPr>
                <w:rFonts w:ascii="仿宋_GB2312" w:hAnsi="仿宋_GB2312" w:cs="仿宋_GB2312" w:eastAsia="仿宋_GB2312"/>
              </w:rPr>
              <w:t>投标人资格证明文件.docx 其他资料.docx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中小企业声明函 商务应答表 标的清单 投标人资格证明文件.docx 其他资料.docx 投标文件封面 投标人承诺书.docx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投标文件应包含以下部分：（1）投标函 （2）开标一览表和标的清单 （3）产品技术参数表 （4）商务应答表（5）投标方案 （6）资格证明文件 （7）投标人承诺书（8）其他资料</w:t>
            </w:r>
          </w:p>
        </w:tc>
        <w:tc>
          <w:tcPr>
            <w:tcW w:type="dxa" w:w="1661"/>
          </w:tcPr>
          <w:p>
            <w:pPr>
              <w:pStyle w:val="null3"/>
            </w:pPr>
            <w:r>
              <w:rPr>
                <w:rFonts w:ascii="仿宋_GB2312" w:hAnsi="仿宋_GB2312" w:cs="仿宋_GB2312" w:eastAsia="仿宋_GB2312"/>
              </w:rPr>
              <w:t>开标一览表 投标方案.docx 产品技术参数表 投标函 商务应答表 标的清单 投标人资格证明文件.docx 其他资料.docx 投标人承诺书.docx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符合招标文件要求，不能有采购人不能接受的附加条件。</w:t>
            </w:r>
          </w:p>
        </w:tc>
        <w:tc>
          <w:tcPr>
            <w:tcW w:type="dxa" w:w="1661"/>
          </w:tcPr>
          <w:p>
            <w:pPr>
              <w:pStyle w:val="null3"/>
            </w:pPr>
            <w:r>
              <w:rPr>
                <w:rFonts w:ascii="仿宋_GB2312" w:hAnsi="仿宋_GB2312" w:cs="仿宋_GB2312" w:eastAsia="仿宋_GB2312"/>
              </w:rPr>
              <w:t>商务应答表 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技术要求完全符合、满足招标文件技术要求的，计24分。每有一项负偏离扣2分，扣完为止。 评审标准：根据投标人提供相应的产品检测报告或技术说明或产品彩页或官网功能截图等作为证明材料，未提 供或所提供材料模糊不清或所提供材料无法有效证明的将视为不满足本参数要求。</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但不限于：①所投产品型号、功能、技术规格等详细信息描述；②提供所投产品品牌与配置清单；设备配置先进、选型科学合理；设备配置完整性、性能稳定性、兼容性、行业使用广泛性等方面描述（供应商须提供证明材料，包括但不限于所投产品临床使用优势、市场销售情况等）。 （1）设备选型方案详细、科学合理、可行性很强、完全满足采购人需求且有利于项目实施得6分； （2）设备选型方案描述简单、较科学合理、可行性一般、满足采购人需求得4分； （3）设备选型方案有缺漏项、可行性一般得2分；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投标人针对本项目提出具体的实施方案，方案内容包含：①技术方案；②质量保证措施；③组织实施方案；④供货方案；⑤验收方案；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三、赋分依据（满分15分） 上述5项评审内容全部满足评审标准得15分；每有一个评审内容缺项扣3分，扣完为止；每有一项评审内容存在缺陷，扣（0-2.9）分。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在满足整机质保期3年的基础上，每延长1年增加1分，最多2分。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提供2022年5月1日至投标文件递交截止时间同类产品业绩（以合同签订时间为准），1份业绩得2分，业绩满分5分（提供完整的合同复印件加盖单位公章）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投标人针对本项目提出具体的售后服务方案，方案内容包含：①售后服务保障体系；②售后服务人员组织；③备品、备件供应计划；④设备（产品）发生故障后的补救措施； 二、评审标准 1、完整性：方案须全面，对评审内容中的各项要求有详细描述； 2、可实施性：切合本项目实际情况，实施步骤清晰、合理； 3、针对性：方案能够紧扣本项目所采购设备种类等实际情况，内容科学合理。 三、赋分依据（满分12分） 上述4项评审内容全部满足评审标准得12分；每有一个评审内容缺项扣3分，扣完为止；每有一项评审内容存在缺陷，扣（0-2.9）分。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投标人针对本项目提出具体的培训方案，方案内容包含：①培训内容；②培训人员及时间安排；③培训结果考核；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上述3项评审内容全部满足评审标准得6分；每有一个评审内容缺项扣2分，扣完为止；每有一项评审内容存在缺陷，扣（0-1.9）分。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计算分数时四舍五入取小数点后两位。 注：投标人符合小型、微型企业或监狱企业、残疾人福利性单位条件的，按“投标总报价×10%”进行扣减，用扣除后的价格参与评审。详见政策性扣减说明。</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