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A50DE">
      <w:pPr>
        <w:pStyle w:val="3"/>
        <w:ind w:right="-360" w:firstLine="643"/>
        <w:rPr>
          <w:sz w:val="32"/>
          <w:szCs w:val="48"/>
        </w:rPr>
      </w:pPr>
      <w:r>
        <w:rPr>
          <w:rFonts w:hint="eastAsia"/>
          <w:sz w:val="32"/>
          <w:szCs w:val="48"/>
        </w:rPr>
        <w:t>商务及合同主要条款（参考）</w:t>
      </w:r>
    </w:p>
    <w:p w14:paraId="01054151">
      <w:pPr>
        <w:spacing w:line="360" w:lineRule="auto"/>
        <w:ind w:right="-360" w:firstLine="480" w:firstLineChars="200"/>
        <w:rPr>
          <w:rFonts w:ascii="宋体" w:hAnsi="宋体"/>
          <w:sz w:val="24"/>
        </w:rPr>
      </w:pPr>
      <w:r>
        <w:rPr>
          <w:rFonts w:hint="eastAsia" w:ascii="宋体" w:hAnsi="宋体"/>
          <w:sz w:val="24"/>
        </w:rPr>
        <w:t>一、合同内容及金额：即中标人的投标内容及其中标总金额。</w:t>
      </w:r>
    </w:p>
    <w:p w14:paraId="561F573F">
      <w:pPr>
        <w:spacing w:line="360" w:lineRule="auto"/>
        <w:ind w:right="-360" w:firstLine="480" w:firstLineChars="200"/>
        <w:rPr>
          <w:rFonts w:ascii="宋体" w:hAnsi="宋体"/>
          <w:sz w:val="24"/>
        </w:rPr>
      </w:pPr>
      <w:r>
        <w:rPr>
          <w:rFonts w:hint="eastAsia" w:ascii="宋体" w:hAnsi="宋体"/>
          <w:sz w:val="24"/>
        </w:rPr>
        <w:t>二、知识产权：即中标人应保证采购人在使用成交服务时，不承担任何涉及知识产权法律诉讼的责任。</w:t>
      </w:r>
    </w:p>
    <w:p w14:paraId="4BCD7389">
      <w:pPr>
        <w:spacing w:line="360" w:lineRule="auto"/>
        <w:ind w:right="-360" w:firstLine="480" w:firstLineChars="200"/>
        <w:rPr>
          <w:rFonts w:ascii="宋体" w:hAnsi="宋体"/>
          <w:sz w:val="24"/>
        </w:rPr>
      </w:pPr>
      <w:r>
        <w:rPr>
          <w:rFonts w:hint="eastAsia" w:ascii="宋体" w:hAnsi="宋体"/>
          <w:sz w:val="24"/>
        </w:rPr>
        <w:t>三、服务期：</w:t>
      </w:r>
      <w:r>
        <w:rPr>
          <w:rFonts w:hint="eastAsia" w:ascii="宋体" w:hAnsi="宋体"/>
          <w:kern w:val="0"/>
          <w:sz w:val="24"/>
          <w:shd w:val="clear" w:color="auto" w:fill="FFFFFF"/>
        </w:rPr>
        <w:t>文件</w:t>
      </w:r>
      <w:r>
        <w:rPr>
          <w:rFonts w:ascii="宋体" w:hAnsi="宋体"/>
          <w:kern w:val="0"/>
          <w:sz w:val="24"/>
          <w:shd w:val="clear" w:color="auto" w:fill="FFFFFF"/>
        </w:rPr>
        <w:t>要求时间</w:t>
      </w:r>
    </w:p>
    <w:p w14:paraId="637C9C49">
      <w:pPr>
        <w:spacing w:line="360" w:lineRule="auto"/>
        <w:ind w:right="-360" w:firstLine="480" w:firstLineChars="200"/>
        <w:rPr>
          <w:rFonts w:ascii="宋体" w:hAnsi="宋体"/>
          <w:sz w:val="24"/>
        </w:rPr>
      </w:pPr>
      <w:r>
        <w:rPr>
          <w:rFonts w:hint="eastAsia" w:ascii="宋体" w:hAnsi="宋体"/>
          <w:sz w:val="24"/>
        </w:rPr>
        <w:t>中标人未征得采购人同意和谅解而单方面延迟服务期，将按违约终止合同。</w:t>
      </w:r>
    </w:p>
    <w:p w14:paraId="02D6A8F4">
      <w:pPr>
        <w:spacing w:line="360" w:lineRule="auto"/>
        <w:ind w:right="-360" w:firstLine="480" w:firstLineChars="200"/>
        <w:rPr>
          <w:rFonts w:ascii="宋体" w:hAnsi="宋体"/>
          <w:sz w:val="24"/>
        </w:rPr>
      </w:pPr>
      <w:r>
        <w:rPr>
          <w:rFonts w:hint="eastAsia" w:ascii="宋体" w:hAnsi="宋体"/>
          <w:sz w:val="24"/>
        </w:rPr>
        <w:t>中标人遇到可能妨碍提供服务的情况，应当及时以书面形式通知采购人，说明原由、拖延的期限等；采购人、采购代理机构在收到通知后，尽快进行情况评估并确定是否通过修改合同，酌情延长服务期限或者通过协商加收误期赔偿金。</w:t>
      </w:r>
    </w:p>
    <w:p w14:paraId="652D4799">
      <w:pPr>
        <w:spacing w:line="360" w:lineRule="auto"/>
        <w:ind w:right="-360" w:firstLine="480" w:firstLineChars="200"/>
        <w:rPr>
          <w:rFonts w:hint="eastAsia" w:ascii="宋体" w:hAnsi="宋体"/>
          <w:sz w:val="24"/>
        </w:rPr>
      </w:pPr>
      <w:r>
        <w:rPr>
          <w:rFonts w:hint="eastAsia" w:ascii="宋体" w:hAnsi="宋体"/>
          <w:sz w:val="24"/>
        </w:rPr>
        <w:t>四、服务地点：采购人指定地点</w:t>
      </w:r>
    </w:p>
    <w:p w14:paraId="44C058E0">
      <w:pPr>
        <w:spacing w:line="360" w:lineRule="auto"/>
        <w:ind w:right="-360" w:firstLine="480" w:firstLineChars="200"/>
        <w:rPr>
          <w:rFonts w:hint="eastAsia" w:ascii="宋体" w:hAnsi="宋体"/>
          <w:sz w:val="24"/>
        </w:rPr>
      </w:pPr>
      <w:r>
        <w:rPr>
          <w:rFonts w:hint="eastAsia" w:ascii="宋体" w:hAnsi="宋体"/>
          <w:sz w:val="24"/>
        </w:rPr>
        <w:t>五、结算方式：西安市疾病预防控制中心每月月初（不包含节假日）将上月应付工资通知劳务派遣公司，劳务派遣公司接到西安市疾控中心人员工资发放明细，劳务派遣公司按照人员工资发放明细先将工资等相关费用发放、缴纳至劳务派遣人员，待劳务派遣公司开具税票转送至甲方后，甲方10个工作日以内转账方式支付上月费用。由于特殊情况，劳务派遣公司应当在当年12月10前开具好12月份到次年4月份共计5个月的应付实际费用的税票，西安市疾病预防控制中心收到该税票后10个工作日内将该5个月的实际费用转账给劳务派遣公司，劳务派遣公司收到费</w:t>
      </w:r>
      <w:bookmarkStart w:id="0" w:name="_GoBack"/>
      <w:bookmarkEnd w:id="0"/>
      <w:r>
        <w:rPr>
          <w:rFonts w:hint="eastAsia" w:ascii="宋体" w:hAnsi="宋体"/>
          <w:sz w:val="24"/>
        </w:rPr>
        <w:t>用应按照实际发放金额逐月抵扣。如遇五一劳动节、十一国庆节等节假日，劳务派遣公司在节假日前一天必须将相关工资发放到劳务派遣人员手中。</w:t>
      </w:r>
    </w:p>
    <w:p w14:paraId="780C0003">
      <w:pPr>
        <w:spacing w:line="360" w:lineRule="auto"/>
        <w:ind w:right="-360" w:firstLine="480" w:firstLineChars="200"/>
        <w:rPr>
          <w:rFonts w:ascii="宋体" w:hAnsi="宋体"/>
          <w:sz w:val="24"/>
        </w:rPr>
      </w:pPr>
      <w:r>
        <w:rPr>
          <w:rFonts w:hint="eastAsia" w:ascii="宋体" w:hAnsi="宋体"/>
          <w:sz w:val="24"/>
        </w:rPr>
        <w:t>六、服务质量</w:t>
      </w:r>
    </w:p>
    <w:p w14:paraId="4D3E2550">
      <w:pPr>
        <w:spacing w:line="360" w:lineRule="auto"/>
        <w:ind w:right="-360" w:firstLine="480" w:firstLineChars="200"/>
        <w:rPr>
          <w:rFonts w:ascii="宋体" w:hAnsi="宋体"/>
          <w:sz w:val="24"/>
        </w:rPr>
      </w:pPr>
      <w:r>
        <w:rPr>
          <w:rFonts w:hint="eastAsia" w:ascii="宋体" w:hAnsi="宋体"/>
          <w:sz w:val="24"/>
        </w:rPr>
        <w:t>1、在服务期限内，如果发现任何一项不符，采购人应在最短时间内，以书面形式向中标人提出索赔。同时通告采购代理机构。</w:t>
      </w:r>
    </w:p>
    <w:p w14:paraId="07CD0BD4">
      <w:pPr>
        <w:spacing w:line="360" w:lineRule="auto"/>
        <w:ind w:right="-360" w:firstLine="480" w:firstLineChars="200"/>
        <w:rPr>
          <w:rFonts w:ascii="宋体" w:hAnsi="宋体"/>
          <w:sz w:val="24"/>
        </w:rPr>
      </w:pPr>
      <w:r>
        <w:rPr>
          <w:rFonts w:hint="eastAsia" w:ascii="宋体" w:hAnsi="宋体"/>
          <w:sz w:val="24"/>
        </w:rPr>
        <w:t>2、服务期限内，项目所产生的费用均由中标人承担。</w:t>
      </w:r>
    </w:p>
    <w:p w14:paraId="7963A3F3">
      <w:pPr>
        <w:spacing w:line="360" w:lineRule="auto"/>
        <w:ind w:right="-360" w:firstLine="480" w:firstLineChars="200"/>
        <w:rPr>
          <w:rFonts w:ascii="宋体" w:hAnsi="宋体"/>
          <w:sz w:val="24"/>
        </w:rPr>
      </w:pPr>
      <w:r>
        <w:rPr>
          <w:rFonts w:hint="eastAsia" w:ascii="宋体" w:hAnsi="宋体"/>
          <w:sz w:val="24"/>
        </w:rPr>
        <w:t>七、采购项目执行内容需要调整时，经采购人同意后，可以对相应的内容进行调整，并协商确定价格差额计算方法和负担办法。</w:t>
      </w:r>
    </w:p>
    <w:p w14:paraId="41F1DAA0">
      <w:pPr>
        <w:spacing w:line="360" w:lineRule="auto"/>
        <w:ind w:right="-360" w:firstLine="480" w:firstLineChars="200"/>
        <w:rPr>
          <w:rFonts w:ascii="宋体" w:hAnsi="宋体"/>
          <w:sz w:val="24"/>
        </w:rPr>
      </w:pPr>
      <w:r>
        <w:rPr>
          <w:rFonts w:hint="eastAsia" w:ascii="宋体" w:hAnsi="宋体"/>
          <w:sz w:val="24"/>
        </w:rPr>
        <w:t>八、合同争议的解决：合同执行中发生争议的，当事人双方应协商解决，协商达不成一致时，可向人民法院提请诉讼。</w:t>
      </w:r>
    </w:p>
    <w:p w14:paraId="537BB72F">
      <w:pPr>
        <w:spacing w:line="360" w:lineRule="auto"/>
        <w:ind w:right="-360" w:firstLine="480" w:firstLineChars="200"/>
        <w:rPr>
          <w:rFonts w:ascii="宋体" w:hAnsi="宋体"/>
          <w:sz w:val="24"/>
        </w:rPr>
      </w:pPr>
      <w:r>
        <w:rPr>
          <w:rFonts w:hint="eastAsia" w:ascii="宋体" w:hAnsi="宋体"/>
          <w:sz w:val="24"/>
        </w:rPr>
        <w:t>九、在发生不可抗力情况下的应对措施和解决办法。</w:t>
      </w:r>
    </w:p>
    <w:p w14:paraId="68BF98CC">
      <w:pPr>
        <w:spacing w:line="360" w:lineRule="auto"/>
        <w:ind w:right="-360" w:firstLine="480" w:firstLineChars="200"/>
        <w:rPr>
          <w:rFonts w:ascii="宋体" w:hAnsi="宋体"/>
          <w:sz w:val="24"/>
        </w:rPr>
      </w:pPr>
      <w:r>
        <w:rPr>
          <w:rFonts w:hint="eastAsia" w:ascii="宋体" w:hAnsi="宋体"/>
          <w:sz w:val="24"/>
        </w:rPr>
        <w:t>十、合同一经签订，不得擅自变更、中止或者终止合同。对确需变更、调整或者中止、终止合同的，应按规定履行相应的手续。</w:t>
      </w:r>
    </w:p>
    <w:p w14:paraId="4D8EE3C9">
      <w:pPr>
        <w:spacing w:line="360" w:lineRule="auto"/>
        <w:ind w:right="-360" w:firstLine="480" w:firstLineChars="200"/>
        <w:rPr>
          <w:rFonts w:ascii="宋体" w:hAnsi="宋体"/>
          <w:sz w:val="24"/>
        </w:rPr>
      </w:pPr>
      <w:r>
        <w:rPr>
          <w:rFonts w:hint="eastAsia" w:ascii="宋体" w:hAnsi="宋体"/>
          <w:sz w:val="24"/>
        </w:rPr>
        <w:t>十一、违约责任：依据《中华人民共和国民法典》的相关条款和本合同约定，中标人未全面履行合同义务或者发生违约，采购人会同采购代理机构有权终止合同，依法向中标人进行经济索赔，并报请采购监督管理机关进行相应的行政处罚。采购人违约的，应当赔偿给中标人造成的经济损失。</w:t>
      </w:r>
    </w:p>
    <w:p w14:paraId="1F80CEE8">
      <w:pPr>
        <w:spacing w:line="360" w:lineRule="auto"/>
        <w:ind w:right="-360" w:firstLine="480" w:firstLineChars="200"/>
        <w:rPr>
          <w:rFonts w:ascii="宋体" w:hAnsi="宋体"/>
          <w:sz w:val="24"/>
        </w:rPr>
      </w:pPr>
      <w:r>
        <w:rPr>
          <w:rFonts w:hint="eastAsia" w:ascii="宋体" w:hAnsi="宋体"/>
          <w:sz w:val="24"/>
        </w:rPr>
        <w:t>十二、本合同一式肆份，甲方、乙方、采购代理机构各执壹份，监督部门备案壹份。签字盖章后生效，合同执行完毕自动失效（合同的服务承诺则长期有效）。</w:t>
      </w:r>
    </w:p>
    <w:p w14:paraId="265F35D0">
      <w:pPr>
        <w:spacing w:line="360" w:lineRule="auto"/>
        <w:ind w:right="-360" w:firstLine="480" w:firstLineChars="200"/>
        <w:rPr>
          <w:rFonts w:ascii="宋体" w:hAnsi="宋体"/>
          <w:sz w:val="24"/>
        </w:rPr>
      </w:pPr>
      <w:r>
        <w:rPr>
          <w:rFonts w:hint="eastAsia" w:ascii="宋体" w:hAnsi="宋体"/>
          <w:sz w:val="24"/>
        </w:rPr>
        <w:t>十三、其它（在合同中具体明确）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1"/>
      </w:tblGrid>
      <w:tr w14:paraId="1229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609A29CE">
            <w:pPr>
              <w:spacing w:line="360" w:lineRule="auto"/>
              <w:ind w:right="-360"/>
              <w:jc w:val="left"/>
              <w:rPr>
                <w:rFonts w:ascii="宋体" w:hAnsi="宋体" w:cs="宋体"/>
                <w:sz w:val="24"/>
              </w:rPr>
            </w:pPr>
            <w:r>
              <w:rPr>
                <w:rFonts w:hint="eastAsia" w:ascii="宋体" w:hAnsi="宋体" w:cs="宋体"/>
                <w:sz w:val="24"/>
              </w:rPr>
              <w:t>甲  方</w:t>
            </w:r>
          </w:p>
        </w:tc>
        <w:tc>
          <w:tcPr>
            <w:tcW w:w="4441" w:type="dxa"/>
            <w:tcBorders>
              <w:top w:val="single" w:color="auto" w:sz="4" w:space="0"/>
              <w:left w:val="single" w:color="auto" w:sz="4" w:space="0"/>
              <w:bottom w:val="single" w:color="auto" w:sz="4" w:space="0"/>
              <w:right w:val="single" w:color="auto" w:sz="4" w:space="0"/>
            </w:tcBorders>
            <w:vAlign w:val="center"/>
          </w:tcPr>
          <w:p w14:paraId="04A17293">
            <w:pPr>
              <w:spacing w:line="360" w:lineRule="auto"/>
              <w:ind w:right="-360"/>
              <w:jc w:val="left"/>
              <w:rPr>
                <w:rFonts w:ascii="宋体" w:hAnsi="宋体" w:cs="宋体"/>
                <w:sz w:val="24"/>
              </w:rPr>
            </w:pPr>
            <w:r>
              <w:rPr>
                <w:rFonts w:hint="eastAsia" w:ascii="宋体" w:hAnsi="宋体" w:cs="宋体"/>
                <w:sz w:val="24"/>
              </w:rPr>
              <w:t>乙  方</w:t>
            </w:r>
          </w:p>
        </w:tc>
      </w:tr>
      <w:tr w14:paraId="75D58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5FFD4B75">
            <w:pPr>
              <w:spacing w:line="360" w:lineRule="auto"/>
              <w:ind w:right="-360"/>
              <w:jc w:val="left"/>
              <w:rPr>
                <w:rFonts w:ascii="宋体" w:hAnsi="宋体" w:cs="宋体"/>
                <w:sz w:val="24"/>
              </w:rPr>
            </w:pPr>
            <w:r>
              <w:rPr>
                <w:rFonts w:hint="eastAsia" w:ascii="宋体" w:hAnsi="宋体" w:cs="宋体"/>
                <w:sz w:val="24"/>
              </w:rPr>
              <w:t>（盖章）</w:t>
            </w:r>
          </w:p>
        </w:tc>
        <w:tc>
          <w:tcPr>
            <w:tcW w:w="4441" w:type="dxa"/>
            <w:tcBorders>
              <w:top w:val="single" w:color="auto" w:sz="4" w:space="0"/>
              <w:left w:val="single" w:color="auto" w:sz="4" w:space="0"/>
              <w:bottom w:val="single" w:color="auto" w:sz="4" w:space="0"/>
              <w:right w:val="single" w:color="auto" w:sz="4" w:space="0"/>
            </w:tcBorders>
            <w:vAlign w:val="center"/>
          </w:tcPr>
          <w:p w14:paraId="55822B2D">
            <w:pPr>
              <w:spacing w:line="360" w:lineRule="auto"/>
              <w:ind w:right="-360"/>
              <w:jc w:val="left"/>
              <w:rPr>
                <w:rFonts w:ascii="宋体" w:hAnsi="宋体" w:cs="宋体"/>
                <w:sz w:val="24"/>
              </w:rPr>
            </w:pPr>
            <w:r>
              <w:rPr>
                <w:rFonts w:hint="eastAsia" w:ascii="宋体" w:hAnsi="宋体" w:cs="宋体"/>
                <w:sz w:val="24"/>
              </w:rPr>
              <w:t>成交供应商全称</w:t>
            </w:r>
          </w:p>
          <w:p w14:paraId="308AFE9F">
            <w:pPr>
              <w:spacing w:line="360" w:lineRule="auto"/>
              <w:ind w:right="-360"/>
              <w:jc w:val="left"/>
              <w:rPr>
                <w:rFonts w:ascii="宋体" w:hAnsi="宋体" w:cs="宋体"/>
                <w:sz w:val="24"/>
              </w:rPr>
            </w:pPr>
            <w:r>
              <w:rPr>
                <w:rFonts w:hint="eastAsia" w:ascii="宋体" w:hAnsi="宋体" w:cs="宋体"/>
                <w:sz w:val="24"/>
              </w:rPr>
              <w:t>（盖章）</w:t>
            </w:r>
          </w:p>
        </w:tc>
      </w:tr>
      <w:tr w14:paraId="1354C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34C7E00C">
            <w:pPr>
              <w:spacing w:line="360" w:lineRule="auto"/>
              <w:ind w:right="-360"/>
              <w:jc w:val="left"/>
              <w:rPr>
                <w:rFonts w:ascii="宋体" w:hAnsi="宋体" w:cs="宋体"/>
                <w:sz w:val="24"/>
              </w:rPr>
            </w:pPr>
            <w:r>
              <w:rPr>
                <w:rFonts w:hint="eastAsia" w:ascii="宋体" w:hAnsi="宋体" w:cs="宋体"/>
                <w:sz w:val="24"/>
              </w:rPr>
              <w:t>地址：</w:t>
            </w:r>
          </w:p>
        </w:tc>
        <w:tc>
          <w:tcPr>
            <w:tcW w:w="4441" w:type="dxa"/>
            <w:tcBorders>
              <w:top w:val="single" w:color="auto" w:sz="4" w:space="0"/>
              <w:left w:val="single" w:color="auto" w:sz="4" w:space="0"/>
              <w:bottom w:val="single" w:color="auto" w:sz="4" w:space="0"/>
              <w:right w:val="single" w:color="auto" w:sz="4" w:space="0"/>
            </w:tcBorders>
            <w:vAlign w:val="center"/>
          </w:tcPr>
          <w:p w14:paraId="1C422B7A">
            <w:pPr>
              <w:spacing w:line="360" w:lineRule="auto"/>
              <w:ind w:right="-360"/>
              <w:jc w:val="left"/>
              <w:rPr>
                <w:rFonts w:ascii="宋体" w:hAnsi="宋体" w:cs="宋体"/>
                <w:sz w:val="24"/>
              </w:rPr>
            </w:pPr>
            <w:r>
              <w:rPr>
                <w:rFonts w:hint="eastAsia" w:ascii="宋体" w:hAnsi="宋体" w:cs="宋体"/>
                <w:sz w:val="24"/>
              </w:rPr>
              <w:t>地址：</w:t>
            </w:r>
          </w:p>
        </w:tc>
      </w:tr>
      <w:tr w14:paraId="2090D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69678B33">
            <w:pPr>
              <w:spacing w:line="360" w:lineRule="auto"/>
              <w:ind w:right="-360"/>
              <w:jc w:val="left"/>
              <w:rPr>
                <w:rFonts w:ascii="宋体" w:hAnsi="宋体" w:cs="宋体"/>
                <w:sz w:val="24"/>
              </w:rPr>
            </w:pPr>
            <w:r>
              <w:rPr>
                <w:rFonts w:hint="eastAsia" w:ascii="宋体" w:hAnsi="宋体" w:cs="宋体"/>
                <w:sz w:val="24"/>
              </w:rPr>
              <w:t>邮编：</w:t>
            </w:r>
          </w:p>
        </w:tc>
        <w:tc>
          <w:tcPr>
            <w:tcW w:w="4441" w:type="dxa"/>
            <w:tcBorders>
              <w:top w:val="single" w:color="auto" w:sz="4" w:space="0"/>
              <w:left w:val="single" w:color="auto" w:sz="4" w:space="0"/>
              <w:bottom w:val="single" w:color="auto" w:sz="4" w:space="0"/>
              <w:right w:val="single" w:color="auto" w:sz="4" w:space="0"/>
            </w:tcBorders>
            <w:vAlign w:val="center"/>
          </w:tcPr>
          <w:p w14:paraId="24191AFC">
            <w:pPr>
              <w:spacing w:line="360" w:lineRule="auto"/>
              <w:ind w:right="-360"/>
              <w:jc w:val="left"/>
              <w:rPr>
                <w:rFonts w:ascii="宋体" w:hAnsi="宋体" w:cs="宋体"/>
                <w:sz w:val="24"/>
              </w:rPr>
            </w:pPr>
            <w:r>
              <w:rPr>
                <w:rFonts w:hint="eastAsia" w:ascii="宋体" w:hAnsi="宋体" w:cs="宋体"/>
                <w:sz w:val="24"/>
              </w:rPr>
              <w:t>邮编：</w:t>
            </w:r>
          </w:p>
        </w:tc>
      </w:tr>
      <w:tr w14:paraId="3DE6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vMerge w:val="restart"/>
            <w:tcBorders>
              <w:top w:val="single" w:color="auto" w:sz="4" w:space="0"/>
              <w:left w:val="single" w:color="auto" w:sz="4" w:space="0"/>
              <w:right w:val="single" w:color="auto" w:sz="4" w:space="0"/>
            </w:tcBorders>
            <w:vAlign w:val="center"/>
          </w:tcPr>
          <w:p w14:paraId="3879B489">
            <w:pPr>
              <w:spacing w:line="360" w:lineRule="auto"/>
              <w:ind w:right="-360"/>
              <w:jc w:val="left"/>
              <w:rPr>
                <w:rFonts w:ascii="宋体" w:hAnsi="宋体" w:cs="宋体"/>
                <w:sz w:val="24"/>
              </w:rPr>
            </w:pPr>
            <w:r>
              <w:rPr>
                <w:rFonts w:hint="eastAsia" w:ascii="宋体" w:hAnsi="宋体" w:cs="宋体"/>
                <w:sz w:val="24"/>
              </w:rPr>
              <w:t>全权代表：（签字）</w:t>
            </w:r>
          </w:p>
        </w:tc>
        <w:tc>
          <w:tcPr>
            <w:tcW w:w="4441" w:type="dxa"/>
            <w:tcBorders>
              <w:top w:val="single" w:color="auto" w:sz="4" w:space="0"/>
              <w:left w:val="single" w:color="auto" w:sz="4" w:space="0"/>
              <w:bottom w:val="single" w:color="auto" w:sz="4" w:space="0"/>
              <w:right w:val="single" w:color="auto" w:sz="4" w:space="0"/>
            </w:tcBorders>
            <w:vAlign w:val="center"/>
          </w:tcPr>
          <w:p w14:paraId="067CE755">
            <w:pPr>
              <w:spacing w:line="360" w:lineRule="auto"/>
              <w:ind w:right="-360"/>
              <w:jc w:val="left"/>
              <w:rPr>
                <w:rFonts w:ascii="宋体" w:hAnsi="宋体" w:cs="宋体"/>
                <w:sz w:val="24"/>
              </w:rPr>
            </w:pPr>
            <w:r>
              <w:rPr>
                <w:rFonts w:hint="eastAsia" w:ascii="宋体" w:hAnsi="宋体" w:cs="宋体"/>
                <w:sz w:val="24"/>
              </w:rPr>
              <w:t>法定代表人：</w:t>
            </w:r>
          </w:p>
        </w:tc>
      </w:tr>
      <w:tr w14:paraId="5995F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vMerge w:val="continue"/>
            <w:tcBorders>
              <w:left w:val="single" w:color="auto" w:sz="4" w:space="0"/>
              <w:bottom w:val="single" w:color="auto" w:sz="4" w:space="0"/>
              <w:right w:val="single" w:color="auto" w:sz="4" w:space="0"/>
            </w:tcBorders>
            <w:vAlign w:val="center"/>
          </w:tcPr>
          <w:p w14:paraId="4620F1ED">
            <w:pPr>
              <w:spacing w:line="360" w:lineRule="auto"/>
              <w:ind w:right="-360"/>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vAlign w:val="center"/>
          </w:tcPr>
          <w:p w14:paraId="10CFBF6F">
            <w:pPr>
              <w:spacing w:line="360" w:lineRule="auto"/>
              <w:ind w:right="-360"/>
              <w:jc w:val="left"/>
              <w:rPr>
                <w:rFonts w:ascii="宋体" w:hAnsi="宋体" w:cs="宋体"/>
                <w:sz w:val="24"/>
              </w:rPr>
            </w:pPr>
            <w:r>
              <w:rPr>
                <w:rFonts w:hint="eastAsia" w:ascii="宋体" w:hAnsi="宋体" w:cs="宋体"/>
                <w:sz w:val="24"/>
              </w:rPr>
              <w:t>被授权代表：（签字）</w:t>
            </w:r>
          </w:p>
        </w:tc>
      </w:tr>
      <w:tr w14:paraId="25B0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4CC3F12E">
            <w:pPr>
              <w:spacing w:line="360" w:lineRule="auto"/>
              <w:ind w:right="-360"/>
              <w:jc w:val="left"/>
              <w:rPr>
                <w:rFonts w:ascii="宋体" w:hAnsi="宋体" w:cs="宋体"/>
                <w:sz w:val="24"/>
              </w:rPr>
            </w:pPr>
            <w:r>
              <w:rPr>
                <w:rFonts w:hint="eastAsia" w:ascii="宋体" w:hAnsi="宋体" w:cs="宋体"/>
                <w:sz w:val="24"/>
              </w:rPr>
              <w:t>电话：</w:t>
            </w:r>
          </w:p>
        </w:tc>
        <w:tc>
          <w:tcPr>
            <w:tcW w:w="4441" w:type="dxa"/>
            <w:tcBorders>
              <w:top w:val="single" w:color="auto" w:sz="4" w:space="0"/>
              <w:left w:val="single" w:color="auto" w:sz="4" w:space="0"/>
              <w:bottom w:val="single" w:color="auto" w:sz="4" w:space="0"/>
              <w:right w:val="single" w:color="auto" w:sz="4" w:space="0"/>
            </w:tcBorders>
            <w:vAlign w:val="center"/>
          </w:tcPr>
          <w:p w14:paraId="7EB5DC7F">
            <w:pPr>
              <w:spacing w:line="360" w:lineRule="auto"/>
              <w:ind w:right="-360"/>
              <w:jc w:val="left"/>
              <w:rPr>
                <w:rFonts w:ascii="宋体" w:hAnsi="宋体" w:cs="宋体"/>
                <w:sz w:val="24"/>
              </w:rPr>
            </w:pPr>
            <w:r>
              <w:rPr>
                <w:rFonts w:hint="eastAsia" w:ascii="宋体" w:hAnsi="宋体" w:cs="宋体"/>
                <w:sz w:val="24"/>
              </w:rPr>
              <w:t>电话：</w:t>
            </w:r>
          </w:p>
        </w:tc>
      </w:tr>
      <w:tr w14:paraId="5ECB7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7FDAB7F3">
            <w:pPr>
              <w:spacing w:line="360" w:lineRule="auto"/>
              <w:ind w:right="-360"/>
              <w:jc w:val="left"/>
              <w:rPr>
                <w:rFonts w:ascii="宋体" w:hAnsi="宋体" w:cs="宋体"/>
                <w:sz w:val="24"/>
              </w:rPr>
            </w:pPr>
            <w:r>
              <w:rPr>
                <w:rFonts w:hint="eastAsia" w:ascii="宋体" w:hAnsi="宋体" w:cs="宋体"/>
                <w:sz w:val="24"/>
              </w:rPr>
              <w:t>传真：</w:t>
            </w:r>
          </w:p>
        </w:tc>
        <w:tc>
          <w:tcPr>
            <w:tcW w:w="4441" w:type="dxa"/>
            <w:tcBorders>
              <w:top w:val="single" w:color="auto" w:sz="4" w:space="0"/>
              <w:left w:val="single" w:color="auto" w:sz="4" w:space="0"/>
              <w:bottom w:val="single" w:color="auto" w:sz="4" w:space="0"/>
              <w:right w:val="single" w:color="auto" w:sz="4" w:space="0"/>
            </w:tcBorders>
            <w:vAlign w:val="center"/>
          </w:tcPr>
          <w:p w14:paraId="55DAEC18">
            <w:pPr>
              <w:spacing w:line="360" w:lineRule="auto"/>
              <w:ind w:right="-360"/>
              <w:jc w:val="left"/>
              <w:rPr>
                <w:rFonts w:ascii="宋体" w:hAnsi="宋体" w:cs="宋体"/>
                <w:sz w:val="24"/>
              </w:rPr>
            </w:pPr>
            <w:r>
              <w:rPr>
                <w:rFonts w:hint="eastAsia" w:ascii="宋体" w:hAnsi="宋体" w:cs="宋体"/>
                <w:sz w:val="24"/>
              </w:rPr>
              <w:t>传真：</w:t>
            </w:r>
          </w:p>
        </w:tc>
      </w:tr>
      <w:tr w14:paraId="3AD9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77D96185">
            <w:pPr>
              <w:spacing w:line="360" w:lineRule="auto"/>
              <w:ind w:right="-360"/>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vAlign w:val="center"/>
          </w:tcPr>
          <w:p w14:paraId="68E5557B">
            <w:pPr>
              <w:spacing w:line="360" w:lineRule="auto"/>
              <w:ind w:right="-360"/>
              <w:jc w:val="left"/>
              <w:rPr>
                <w:rFonts w:ascii="宋体" w:hAnsi="宋体" w:cs="宋体"/>
                <w:sz w:val="24"/>
              </w:rPr>
            </w:pPr>
            <w:r>
              <w:rPr>
                <w:rFonts w:hint="eastAsia" w:ascii="宋体" w:hAnsi="宋体" w:cs="宋体"/>
                <w:sz w:val="24"/>
              </w:rPr>
              <w:t>开户银行：</w:t>
            </w:r>
          </w:p>
        </w:tc>
      </w:tr>
      <w:tr w14:paraId="2E0D0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70D45E2C">
            <w:pPr>
              <w:spacing w:line="360" w:lineRule="auto"/>
              <w:ind w:right="-360"/>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vAlign w:val="center"/>
          </w:tcPr>
          <w:p w14:paraId="0F7F3D26">
            <w:pPr>
              <w:spacing w:line="360" w:lineRule="auto"/>
              <w:ind w:right="-360"/>
              <w:jc w:val="left"/>
              <w:rPr>
                <w:rFonts w:ascii="宋体" w:hAnsi="宋体" w:cs="宋体"/>
                <w:sz w:val="24"/>
              </w:rPr>
            </w:pPr>
            <w:r>
              <w:rPr>
                <w:rFonts w:hint="eastAsia" w:ascii="宋体" w:hAnsi="宋体" w:cs="宋体"/>
                <w:sz w:val="24"/>
              </w:rPr>
              <w:t>账号:</w:t>
            </w:r>
          </w:p>
        </w:tc>
      </w:tr>
      <w:tr w14:paraId="57546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440" w:type="dxa"/>
            <w:tcBorders>
              <w:top w:val="single" w:color="auto" w:sz="4" w:space="0"/>
              <w:left w:val="single" w:color="auto" w:sz="4" w:space="0"/>
              <w:bottom w:val="single" w:color="auto" w:sz="4" w:space="0"/>
              <w:right w:val="single" w:color="auto" w:sz="4" w:space="0"/>
            </w:tcBorders>
            <w:vAlign w:val="center"/>
          </w:tcPr>
          <w:p w14:paraId="57001571">
            <w:pPr>
              <w:spacing w:line="360" w:lineRule="auto"/>
              <w:ind w:right="-360"/>
              <w:jc w:val="left"/>
              <w:rPr>
                <w:rFonts w:ascii="宋体" w:hAnsi="宋体" w:cs="宋体"/>
                <w:sz w:val="24"/>
              </w:rPr>
            </w:pPr>
            <w:r>
              <w:rPr>
                <w:rFonts w:hint="eastAsia" w:ascii="宋体" w:hAnsi="宋体" w:cs="宋体"/>
                <w:sz w:val="24"/>
              </w:rPr>
              <w:t>日期：  年   月   日</w:t>
            </w:r>
          </w:p>
        </w:tc>
        <w:tc>
          <w:tcPr>
            <w:tcW w:w="4441" w:type="dxa"/>
            <w:tcBorders>
              <w:top w:val="single" w:color="auto" w:sz="4" w:space="0"/>
              <w:left w:val="single" w:color="auto" w:sz="4" w:space="0"/>
              <w:bottom w:val="single" w:color="auto" w:sz="4" w:space="0"/>
              <w:right w:val="single" w:color="auto" w:sz="4" w:space="0"/>
            </w:tcBorders>
            <w:vAlign w:val="center"/>
          </w:tcPr>
          <w:p w14:paraId="0C004A23">
            <w:pPr>
              <w:spacing w:line="360" w:lineRule="auto"/>
              <w:ind w:right="-360"/>
              <w:jc w:val="left"/>
              <w:rPr>
                <w:rFonts w:ascii="宋体" w:hAnsi="宋体" w:cs="宋体"/>
                <w:sz w:val="24"/>
              </w:rPr>
            </w:pPr>
            <w:r>
              <w:rPr>
                <w:rFonts w:hint="eastAsia" w:ascii="宋体" w:hAnsi="宋体" w:cs="宋体"/>
                <w:sz w:val="24"/>
              </w:rPr>
              <w:t>日期：  年   月   日</w:t>
            </w:r>
          </w:p>
        </w:tc>
      </w:tr>
    </w:tbl>
    <w:p w14:paraId="1C91CC9C">
      <w:pPr>
        <w:spacing w:line="360" w:lineRule="auto"/>
        <w:ind w:right="-360" w:firstLine="480" w:firstLineChars="200"/>
      </w:pPr>
      <w:r>
        <w:rPr>
          <w:rFonts w:hint="eastAsia" w:ascii="宋体" w:hAnsi="宋体"/>
          <w:sz w:val="24"/>
        </w:rPr>
        <w:t xml:space="preserve">                                  </w:t>
      </w:r>
    </w:p>
    <w:p w14:paraId="6E0AB3C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473E5A"/>
    <w:rsid w:val="27473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jc w:val="left"/>
    </w:pPr>
    <w:rPr>
      <w:rFonts w:ascii="Arial" w:hAnsi="Arial" w:cs="Arial"/>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2025-05-21T06:21:00Z</dcterms:created>
  <dc:creator>rq</dc:creator>
  <cp:lastModifiedBy>rq</cp:lastModifiedBy>
  <dcterms:modified xsi:type="dcterms:W3CDTF">2025-05-21T06:21:48Z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0D8D813092A449769B35AF909EE0D12F_11</vt:lpwstr>
  </property>
  <property fmtid="{D5CDD505-2E9C-101B-9397-08002B2CF9AE}" pid="4" name="KSOTemplateDocerSaveRecord">
    <vt:lpwstr>eyJoZGlkIjoiYWMzOGEyM2JhNDIyMWNjZTJhZTY0M2ZhNjhhYjc0MWYiLCJ1c2VySWQiOiI0MDgxNjMwMjcifQ==</vt:lpwstr>
  </property>
</Properties>
</file>