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19AFC">
      <w:pPr>
        <w:pStyle w:val="6"/>
        <w:jc w:val="center"/>
        <w:outlineLvl w:val="1"/>
        <w:rPr>
          <w:rFonts w:hint="default"/>
        </w:rPr>
      </w:pPr>
      <w:r>
        <w:rPr>
          <w:b/>
          <w:sz w:val="36"/>
        </w:rPr>
        <w:t xml:space="preserve">第八章 </w:t>
      </w:r>
      <w:bookmarkStart w:id="0" w:name="_GoBack"/>
      <w:r>
        <w:rPr>
          <w:b/>
          <w:sz w:val="36"/>
        </w:rPr>
        <w:t>拟签订采购合同文本</w:t>
      </w:r>
    </w:p>
    <w:bookmarkEnd w:id="0"/>
    <w:p w14:paraId="37D5AE51">
      <w:pPr>
        <w:jc w:val="center"/>
        <w:rPr>
          <w:b/>
          <w:sz w:val="28"/>
        </w:rPr>
      </w:pPr>
    </w:p>
    <w:p w14:paraId="7F2F8B6B">
      <w:pPr>
        <w:jc w:val="center"/>
        <w:rPr>
          <w:b/>
          <w:sz w:val="28"/>
        </w:rPr>
      </w:pPr>
    </w:p>
    <w:p w14:paraId="21FD4F58">
      <w:pPr>
        <w:jc w:val="center"/>
        <w:rPr>
          <w:b/>
          <w:sz w:val="28"/>
        </w:rPr>
      </w:pPr>
    </w:p>
    <w:p w14:paraId="3AD24758">
      <w:pPr>
        <w:jc w:val="center"/>
        <w:rPr>
          <w:b/>
          <w:sz w:val="28"/>
        </w:rPr>
      </w:pPr>
    </w:p>
    <w:p w14:paraId="1119291C">
      <w:pPr>
        <w:jc w:val="center"/>
        <w:rPr>
          <w:rFonts w:eastAsia="华文中宋"/>
          <w:b/>
          <w:sz w:val="44"/>
          <w:szCs w:val="44"/>
        </w:rPr>
      </w:pPr>
      <w:r>
        <w:rPr>
          <w:rFonts w:hint="eastAsia"/>
          <w:b/>
          <w:sz w:val="44"/>
          <w:szCs w:val="44"/>
        </w:rPr>
        <w:t>西安市第八医院</w:t>
      </w:r>
      <w:r>
        <w:rPr>
          <w:b/>
          <w:sz w:val="44"/>
          <w:szCs w:val="44"/>
        </w:rPr>
        <w:t>污水站运维外包服务项目</w:t>
      </w:r>
    </w:p>
    <w:p w14:paraId="7A73B046">
      <w:pPr>
        <w:jc w:val="center"/>
        <w:rPr>
          <w:rFonts w:eastAsia="华文中宋"/>
          <w:b/>
          <w:sz w:val="52"/>
          <w:szCs w:val="52"/>
        </w:rPr>
      </w:pPr>
    </w:p>
    <w:p w14:paraId="5C00B1D2">
      <w:pPr>
        <w:jc w:val="center"/>
        <w:rPr>
          <w:rFonts w:eastAsia="华文中宋"/>
          <w:b/>
          <w:sz w:val="28"/>
          <w:szCs w:val="28"/>
        </w:rPr>
      </w:pPr>
      <w:r>
        <w:rPr>
          <w:rFonts w:eastAsia="华文中宋"/>
          <w:b/>
          <w:sz w:val="52"/>
          <w:szCs w:val="52"/>
        </w:rPr>
        <w:t>技术合同书</w:t>
      </w:r>
    </w:p>
    <w:p w14:paraId="45DFD176">
      <w:pPr>
        <w:pStyle w:val="6"/>
        <w:jc w:val="center"/>
        <w:rPr>
          <w:rFonts w:hint="default" w:ascii="宋体" w:hAnsi="宋体" w:eastAsia="宋体" w:cs="宋体"/>
          <w:b/>
          <w:bCs/>
          <w:kern w:val="44"/>
          <w:sz w:val="32"/>
          <w:szCs w:val="32"/>
          <w:lang w:bidi="ar"/>
        </w:rPr>
      </w:pPr>
    </w:p>
    <w:p w14:paraId="5B131A49">
      <w:pPr>
        <w:pStyle w:val="6"/>
        <w:jc w:val="center"/>
        <w:rPr>
          <w:rFonts w:hint="default" w:ascii="宋体" w:hAnsi="宋体" w:eastAsia="宋体" w:cs="宋体"/>
          <w:b/>
          <w:bCs/>
          <w:kern w:val="44"/>
          <w:sz w:val="32"/>
          <w:szCs w:val="32"/>
          <w:lang w:bidi="ar"/>
        </w:rPr>
      </w:pPr>
    </w:p>
    <w:p w14:paraId="330E7DDF">
      <w:pPr>
        <w:pStyle w:val="6"/>
        <w:jc w:val="center"/>
        <w:rPr>
          <w:rFonts w:hint="default" w:ascii="宋体" w:hAnsi="宋体" w:eastAsia="宋体" w:cs="宋体"/>
          <w:b/>
          <w:bCs/>
          <w:kern w:val="44"/>
          <w:sz w:val="32"/>
          <w:szCs w:val="32"/>
          <w:lang w:bidi="ar"/>
        </w:rPr>
      </w:pPr>
    </w:p>
    <w:p w14:paraId="2A20EA08">
      <w:pPr>
        <w:pStyle w:val="6"/>
        <w:jc w:val="center"/>
        <w:rPr>
          <w:rFonts w:hint="default" w:ascii="宋体" w:hAnsi="宋体" w:eastAsia="宋体" w:cs="宋体"/>
          <w:b/>
          <w:bCs/>
          <w:kern w:val="44"/>
          <w:sz w:val="32"/>
          <w:szCs w:val="32"/>
          <w:lang w:bidi="ar"/>
        </w:rPr>
      </w:pPr>
    </w:p>
    <w:p w14:paraId="058B1A8D">
      <w:pPr>
        <w:pStyle w:val="6"/>
        <w:jc w:val="center"/>
        <w:rPr>
          <w:rFonts w:hint="default" w:ascii="宋体" w:hAnsi="宋体" w:eastAsia="宋体" w:cs="宋体"/>
          <w:b/>
          <w:bCs/>
          <w:kern w:val="44"/>
          <w:sz w:val="32"/>
          <w:szCs w:val="32"/>
          <w:lang w:bidi="ar"/>
        </w:rPr>
      </w:pPr>
    </w:p>
    <w:p w14:paraId="2EE818BB">
      <w:pPr>
        <w:pStyle w:val="6"/>
        <w:jc w:val="center"/>
        <w:rPr>
          <w:rFonts w:hint="default" w:ascii="宋体" w:hAnsi="宋体" w:eastAsia="宋体" w:cs="宋体"/>
          <w:b/>
          <w:bCs/>
          <w:kern w:val="44"/>
          <w:sz w:val="32"/>
          <w:szCs w:val="32"/>
          <w:lang w:bidi="ar"/>
        </w:rPr>
      </w:pPr>
    </w:p>
    <w:p w14:paraId="13A44B65">
      <w:pPr>
        <w:pStyle w:val="6"/>
        <w:jc w:val="center"/>
        <w:rPr>
          <w:rFonts w:hint="default" w:ascii="宋体" w:hAnsi="宋体" w:eastAsia="宋体" w:cs="宋体"/>
          <w:b/>
          <w:bCs/>
          <w:kern w:val="44"/>
          <w:sz w:val="32"/>
          <w:szCs w:val="32"/>
          <w:lang w:bidi="ar"/>
        </w:rPr>
      </w:pPr>
    </w:p>
    <w:p w14:paraId="0B370E0B">
      <w:pPr>
        <w:ind w:firstLine="1280" w:firstLineChars="400"/>
        <w:rPr>
          <w:rFonts w:ascii="黑体" w:eastAsia="黑体"/>
          <w:sz w:val="32"/>
          <w:szCs w:val="32"/>
        </w:rPr>
      </w:pPr>
      <w:r>
        <w:rPr>
          <w:rFonts w:hint="eastAsia" w:ascii="黑体" w:eastAsia="黑体"/>
          <w:sz w:val="32"/>
          <w:szCs w:val="32"/>
        </w:rPr>
        <w:t>甲  方：</w:t>
      </w:r>
    </w:p>
    <w:p w14:paraId="7373F596">
      <w:pPr>
        <w:pStyle w:val="6"/>
        <w:ind w:firstLine="1280" w:firstLineChars="400"/>
        <w:jc w:val="both"/>
        <w:rPr>
          <w:rFonts w:hint="default" w:ascii="黑体" w:eastAsia="黑体"/>
          <w:sz w:val="32"/>
          <w:szCs w:val="32"/>
          <w:lang w:eastAsia="zh-CN"/>
        </w:rPr>
      </w:pPr>
      <w:r>
        <w:rPr>
          <w:rFonts w:ascii="黑体" w:eastAsia="黑体"/>
          <w:sz w:val="32"/>
          <w:szCs w:val="32"/>
        </w:rPr>
        <w:t>乙  方</w:t>
      </w:r>
      <w:r>
        <w:rPr>
          <w:rFonts w:ascii="黑体" w:eastAsia="黑体"/>
          <w:sz w:val="32"/>
          <w:szCs w:val="32"/>
          <w:lang w:eastAsia="zh-CN"/>
        </w:rPr>
        <w:t>：</w:t>
      </w:r>
    </w:p>
    <w:p w14:paraId="7B7F0AF4">
      <w:pPr>
        <w:rPr>
          <w:rFonts w:ascii="黑体" w:eastAsia="黑体"/>
          <w:sz w:val="32"/>
          <w:szCs w:val="32"/>
        </w:rPr>
      </w:pPr>
      <w:r>
        <w:rPr>
          <w:rFonts w:hint="eastAsia" w:ascii="黑体" w:eastAsia="黑体"/>
          <w:sz w:val="32"/>
          <w:szCs w:val="32"/>
        </w:rPr>
        <w:br w:type="page"/>
      </w:r>
    </w:p>
    <w:p w14:paraId="25DFB3AD">
      <w:pPr>
        <w:pStyle w:val="7"/>
        <w:spacing w:line="360" w:lineRule="auto"/>
        <w:jc w:val="both"/>
        <w:rPr>
          <w:rFonts w:ascii="宋体" w:hAnsi="宋体" w:eastAsia="宋体" w:cs="宋体"/>
          <w:bCs/>
          <w:sz w:val="24"/>
        </w:rPr>
      </w:pPr>
      <w:r>
        <w:rPr>
          <w:rFonts w:hint="eastAsia" w:ascii="宋体" w:hAnsi="宋体" w:eastAsia="宋体" w:cs="宋体"/>
          <w:sz w:val="24"/>
        </w:rPr>
        <w:t>甲方：西安市第八医院</w:t>
      </w:r>
    </w:p>
    <w:p w14:paraId="1EE46B3C">
      <w:pPr>
        <w:pStyle w:val="7"/>
        <w:spacing w:line="360" w:lineRule="auto"/>
        <w:jc w:val="both"/>
        <w:rPr>
          <w:rFonts w:ascii="宋体" w:hAnsi="宋体" w:eastAsia="宋体" w:cs="宋体"/>
          <w:sz w:val="24"/>
        </w:rPr>
      </w:pPr>
      <w:r>
        <w:rPr>
          <w:rFonts w:hint="eastAsia" w:ascii="宋体" w:hAnsi="宋体" w:eastAsia="宋体" w:cs="宋体"/>
          <w:sz w:val="24"/>
        </w:rPr>
        <w:t>乙方：</w:t>
      </w:r>
    </w:p>
    <w:p w14:paraId="4CF02AFD">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为提高污水处理设施运行效率，保护水资源环境，甲乙双方根据《中华人民共和国政府采购法》《中华人民共和国民法典》《中华人民共和国环境保护法》以及</w:t>
      </w:r>
      <w:r>
        <w:rPr>
          <w:rFonts w:hint="eastAsia" w:ascii="宋体" w:hAnsi="宋体" w:eastAsia="宋体" w:cs="宋体"/>
          <w:sz w:val="24"/>
        </w:rPr>
        <w:t>国家生态环境部有关环保设施运营管理的规定及其他有关法律法规，</w:t>
      </w:r>
      <w:r>
        <w:rPr>
          <w:rFonts w:hint="eastAsia" w:ascii="宋体" w:hAnsi="宋体" w:eastAsia="宋体" w:cs="宋体"/>
          <w:color w:val="000000"/>
          <w:spacing w:val="10"/>
          <w:sz w:val="24"/>
        </w:rPr>
        <w:t>遵循平等、自愿、公平和诚实信用的原则，就</w:t>
      </w:r>
      <w:r>
        <w:rPr>
          <w:rFonts w:hint="eastAsia" w:ascii="宋体" w:hAnsi="宋体" w:eastAsia="宋体" w:cs="宋体"/>
          <w:color w:val="000000"/>
          <w:sz w:val="24"/>
          <w:u w:val="single"/>
          <w:shd w:val="clear" w:color="auto" w:fill="FFFFFF"/>
        </w:rPr>
        <w:t xml:space="preserve">     （项目名称）</w:t>
      </w:r>
      <w:r>
        <w:rPr>
          <w:rFonts w:hint="eastAsia" w:ascii="宋体" w:hAnsi="宋体" w:eastAsia="宋体" w:cs="宋体"/>
          <w:color w:val="000000"/>
          <w:spacing w:val="10"/>
          <w:sz w:val="24"/>
        </w:rPr>
        <w:t>达成一致，签订本合同，以便共同遵守。</w:t>
      </w:r>
    </w:p>
    <w:p w14:paraId="37405248">
      <w:pPr>
        <w:spacing w:line="600" w:lineRule="auto"/>
        <w:rPr>
          <w:rFonts w:ascii="宋体" w:hAnsi="宋体" w:eastAsia="宋体" w:cs="宋体"/>
          <w:b/>
          <w:sz w:val="24"/>
        </w:rPr>
      </w:pPr>
      <w:r>
        <w:rPr>
          <w:rFonts w:hint="eastAsia" w:ascii="宋体" w:hAnsi="宋体" w:eastAsia="宋体" w:cs="宋体"/>
          <w:b/>
          <w:sz w:val="24"/>
        </w:rPr>
        <w:t>一、委托内容</w:t>
      </w:r>
    </w:p>
    <w:p w14:paraId="28469051">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1、医院污水站始建于2006年，日处理量300/吨，2022年10月在原址旁边改扩建日处理量400/吨的污水处理站，共计日处理污水700/吨。主体工艺流程：格栅-调节池-A2/O多级生化处理+竖流沉淀-消毒-达标排放。现实际日处理量约为120/吨。</w:t>
      </w:r>
    </w:p>
    <w:p w14:paraId="12F6348A">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2、运维范围</w:t>
      </w:r>
    </w:p>
    <w:p w14:paraId="7C79CDC2">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污水处理站运维项目相关的人员配置、水质检测、设备巡检、设备保养（含易损件及消耗品，如润滑油、润滑脂</w:t>
      </w:r>
      <w:r>
        <w:rPr>
          <w:rFonts w:ascii="宋体" w:hAnsi="宋体" w:eastAsia="宋体" w:cs="宋体"/>
          <w:color w:val="000000"/>
          <w:spacing w:val="10"/>
          <w:sz w:val="24"/>
        </w:rPr>
        <w:t>......</w:t>
      </w:r>
      <w:r>
        <w:rPr>
          <w:rFonts w:hint="eastAsia" w:ascii="宋体" w:hAnsi="宋体" w:eastAsia="宋体" w:cs="宋体"/>
          <w:color w:val="000000"/>
          <w:spacing w:val="10"/>
          <w:sz w:val="24"/>
        </w:rPr>
        <w:t>）设备检修，在线设备校准并在运维期内协助院方办理及变更排污许可证等内容。</w:t>
      </w:r>
    </w:p>
    <w:p w14:paraId="12F22A7C">
      <w:pPr>
        <w:spacing w:line="600" w:lineRule="auto"/>
        <w:rPr>
          <w:rFonts w:ascii="宋体" w:hAnsi="宋体" w:eastAsia="宋体" w:cs="宋体"/>
          <w:b/>
          <w:sz w:val="24"/>
        </w:rPr>
      </w:pPr>
      <w:r>
        <w:rPr>
          <w:rFonts w:hint="eastAsia" w:ascii="宋体" w:hAnsi="宋体" w:eastAsia="宋体" w:cs="宋体"/>
          <w:b/>
          <w:color w:val="000000"/>
          <w:sz w:val="24"/>
        </w:rPr>
        <w:t>二、</w:t>
      </w:r>
      <w:r>
        <w:rPr>
          <w:rFonts w:hint="eastAsia" w:ascii="宋体" w:hAnsi="宋体" w:eastAsia="宋体" w:cs="宋体"/>
          <w:b/>
          <w:sz w:val="24"/>
        </w:rPr>
        <w:t>服务周期</w:t>
      </w:r>
    </w:p>
    <w:p w14:paraId="2E0E7BB5">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合同期为1年，即   年   月  日至    年   月   日，经考核合格后可续签1年。</w:t>
      </w:r>
    </w:p>
    <w:p w14:paraId="78A0769C">
      <w:pPr>
        <w:spacing w:line="600" w:lineRule="auto"/>
        <w:jc w:val="left"/>
        <w:textAlignment w:val="baseline"/>
        <w:rPr>
          <w:rFonts w:ascii="宋体" w:hAnsi="宋体" w:eastAsia="宋体" w:cs="宋体"/>
          <w:b/>
          <w:color w:val="000000"/>
          <w:spacing w:val="10"/>
          <w:sz w:val="24"/>
        </w:rPr>
      </w:pPr>
      <w:r>
        <w:rPr>
          <w:rFonts w:hint="eastAsia" w:ascii="宋体" w:hAnsi="宋体" w:eastAsia="宋体" w:cs="宋体"/>
          <w:b/>
          <w:color w:val="000000"/>
          <w:spacing w:val="10"/>
          <w:sz w:val="24"/>
        </w:rPr>
        <w:t>三、技术要求</w:t>
      </w:r>
    </w:p>
    <w:p w14:paraId="001C05B9">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1、服从医院的组织和管理，保障污水处理站的正常运行，出水水质符合环保及有关部门的要求。</w:t>
      </w:r>
    </w:p>
    <w:p w14:paraId="215DA42C">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2、按照招标文件技术要求对污水处理站定期巡检、设备维护和检修、构筑物内漂浮物及沉淀物的清理、水质检测以及院方交办的临时性任务。</w:t>
      </w:r>
    </w:p>
    <w:p w14:paraId="4B915B34">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3、执行标准：出水水质执行《医疗机构水污染物排放标准》（GB18466-2005）中表1传染病、结核病医疗水污染物排放限值。</w:t>
      </w:r>
    </w:p>
    <w:p w14:paraId="533594F1">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主要指标如下表：</w:t>
      </w:r>
    </w:p>
    <w:tbl>
      <w:tblPr>
        <w:tblStyle w:val="3"/>
        <w:tblW w:w="8640"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322"/>
        <w:gridCol w:w="1035"/>
        <w:gridCol w:w="1279"/>
        <w:gridCol w:w="1396"/>
        <w:gridCol w:w="868"/>
        <w:gridCol w:w="1007"/>
        <w:gridCol w:w="1733"/>
      </w:tblGrid>
      <w:tr w14:paraId="2CD06A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322" w:type="dxa"/>
            <w:tcBorders>
              <w:top w:val="single" w:color="000000" w:sz="4" w:space="0"/>
              <w:left w:val="single" w:color="000000" w:sz="4" w:space="0"/>
              <w:bottom w:val="single" w:color="000000" w:sz="4" w:space="0"/>
              <w:right w:val="single" w:color="000000" w:sz="4" w:space="0"/>
            </w:tcBorders>
            <w:shd w:val="clear" w:color="auto" w:fill="E0E0E0"/>
            <w:tcMar>
              <w:top w:w="0" w:type="dxa"/>
              <w:left w:w="0" w:type="dxa"/>
              <w:bottom w:w="0" w:type="dxa"/>
              <w:right w:w="0" w:type="dxa"/>
            </w:tcMar>
          </w:tcPr>
          <w:p w14:paraId="56E7AF39">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指标</w:t>
            </w:r>
          </w:p>
        </w:tc>
        <w:tc>
          <w:tcPr>
            <w:tcW w:w="1035"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37C70DD3">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PH</w:t>
            </w:r>
          </w:p>
        </w:tc>
        <w:tc>
          <w:tcPr>
            <w:tcW w:w="1279"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59A2CCDD">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CODcr</w:t>
            </w:r>
          </w:p>
        </w:tc>
        <w:tc>
          <w:tcPr>
            <w:tcW w:w="1396"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5FC5A9B5">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BOD5</w:t>
            </w:r>
          </w:p>
        </w:tc>
        <w:tc>
          <w:tcPr>
            <w:tcW w:w="868"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0DBC1DBB">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SS</w:t>
            </w:r>
          </w:p>
        </w:tc>
        <w:tc>
          <w:tcPr>
            <w:tcW w:w="1007"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751FFD29">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NH3-N</w:t>
            </w:r>
          </w:p>
        </w:tc>
        <w:tc>
          <w:tcPr>
            <w:tcW w:w="1733" w:type="dxa"/>
            <w:tcBorders>
              <w:top w:val="single" w:color="000000" w:sz="4" w:space="0"/>
              <w:left w:val="nil"/>
              <w:bottom w:val="single" w:color="000000" w:sz="4" w:space="0"/>
              <w:right w:val="single" w:color="000000" w:sz="4" w:space="0"/>
            </w:tcBorders>
            <w:shd w:val="clear" w:color="auto" w:fill="E0E0E0"/>
            <w:tcMar>
              <w:top w:w="0" w:type="dxa"/>
              <w:left w:w="0" w:type="dxa"/>
              <w:bottom w:w="0" w:type="dxa"/>
              <w:right w:w="0" w:type="dxa"/>
            </w:tcMar>
          </w:tcPr>
          <w:p w14:paraId="36F9D405">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粪大肠菌群(个/L)</w:t>
            </w:r>
          </w:p>
        </w:tc>
      </w:tr>
      <w:tr w14:paraId="5107B6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22" w:type="dxa"/>
            <w:tcBorders>
              <w:top w:val="nil"/>
              <w:left w:val="single" w:color="000000" w:sz="4" w:space="0"/>
              <w:bottom w:val="single" w:color="000000" w:sz="4" w:space="0"/>
              <w:right w:val="single" w:color="000000" w:sz="4" w:space="0"/>
            </w:tcBorders>
            <w:tcMar>
              <w:top w:w="0" w:type="dxa"/>
              <w:left w:w="0" w:type="dxa"/>
              <w:bottom w:w="0" w:type="dxa"/>
              <w:right w:w="0" w:type="dxa"/>
            </w:tcMar>
          </w:tcPr>
          <w:p w14:paraId="2F8352B7">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排放标准</w:t>
            </w:r>
          </w:p>
        </w:tc>
        <w:tc>
          <w:tcPr>
            <w:tcW w:w="1035" w:type="dxa"/>
            <w:tcBorders>
              <w:top w:val="nil"/>
              <w:left w:val="nil"/>
              <w:bottom w:val="single" w:color="000000" w:sz="4" w:space="0"/>
              <w:right w:val="single" w:color="000000" w:sz="4" w:space="0"/>
            </w:tcBorders>
            <w:tcMar>
              <w:top w:w="0" w:type="dxa"/>
              <w:left w:w="0" w:type="dxa"/>
              <w:bottom w:w="0" w:type="dxa"/>
              <w:right w:w="0" w:type="dxa"/>
            </w:tcMar>
          </w:tcPr>
          <w:p w14:paraId="5D63F325">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6~9</w:t>
            </w:r>
          </w:p>
        </w:tc>
        <w:tc>
          <w:tcPr>
            <w:tcW w:w="1279" w:type="dxa"/>
            <w:tcBorders>
              <w:top w:val="nil"/>
              <w:left w:val="nil"/>
              <w:bottom w:val="single" w:color="000000" w:sz="4" w:space="0"/>
              <w:right w:val="single" w:color="000000" w:sz="4" w:space="0"/>
            </w:tcBorders>
            <w:tcMar>
              <w:top w:w="0" w:type="dxa"/>
              <w:left w:w="0" w:type="dxa"/>
              <w:bottom w:w="0" w:type="dxa"/>
              <w:right w:w="0" w:type="dxa"/>
            </w:tcMar>
          </w:tcPr>
          <w:p w14:paraId="0C01F026">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60</w:t>
            </w:r>
          </w:p>
        </w:tc>
        <w:tc>
          <w:tcPr>
            <w:tcW w:w="1396" w:type="dxa"/>
            <w:tcBorders>
              <w:top w:val="nil"/>
              <w:left w:val="nil"/>
              <w:bottom w:val="single" w:color="000000" w:sz="4" w:space="0"/>
              <w:right w:val="single" w:color="000000" w:sz="4" w:space="0"/>
            </w:tcBorders>
            <w:tcMar>
              <w:top w:w="0" w:type="dxa"/>
              <w:left w:w="0" w:type="dxa"/>
              <w:bottom w:w="0" w:type="dxa"/>
              <w:right w:w="0" w:type="dxa"/>
            </w:tcMar>
          </w:tcPr>
          <w:p w14:paraId="4342B914">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20</w:t>
            </w:r>
          </w:p>
        </w:tc>
        <w:tc>
          <w:tcPr>
            <w:tcW w:w="868" w:type="dxa"/>
            <w:tcBorders>
              <w:top w:val="nil"/>
              <w:left w:val="nil"/>
              <w:bottom w:val="single" w:color="000000" w:sz="4" w:space="0"/>
              <w:right w:val="single" w:color="000000" w:sz="4" w:space="0"/>
            </w:tcBorders>
            <w:tcMar>
              <w:top w:w="0" w:type="dxa"/>
              <w:left w:w="0" w:type="dxa"/>
              <w:bottom w:w="0" w:type="dxa"/>
              <w:right w:w="0" w:type="dxa"/>
            </w:tcMar>
          </w:tcPr>
          <w:p w14:paraId="61E361A7">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20</w:t>
            </w:r>
          </w:p>
        </w:tc>
        <w:tc>
          <w:tcPr>
            <w:tcW w:w="1007" w:type="dxa"/>
            <w:tcBorders>
              <w:top w:val="nil"/>
              <w:left w:val="nil"/>
              <w:bottom w:val="single" w:color="000000" w:sz="4" w:space="0"/>
              <w:right w:val="single" w:color="000000" w:sz="4" w:space="0"/>
            </w:tcBorders>
            <w:tcMar>
              <w:top w:w="0" w:type="dxa"/>
              <w:left w:w="0" w:type="dxa"/>
              <w:bottom w:w="0" w:type="dxa"/>
              <w:right w:w="0" w:type="dxa"/>
            </w:tcMar>
          </w:tcPr>
          <w:p w14:paraId="213EA122">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15</w:t>
            </w:r>
          </w:p>
        </w:tc>
        <w:tc>
          <w:tcPr>
            <w:tcW w:w="1733" w:type="dxa"/>
            <w:tcBorders>
              <w:top w:val="nil"/>
              <w:left w:val="nil"/>
              <w:bottom w:val="single" w:color="000000" w:sz="4" w:space="0"/>
              <w:right w:val="single" w:color="000000" w:sz="4" w:space="0"/>
            </w:tcBorders>
            <w:tcMar>
              <w:top w:w="0" w:type="dxa"/>
              <w:left w:w="0" w:type="dxa"/>
              <w:bottom w:w="0" w:type="dxa"/>
              <w:right w:w="0" w:type="dxa"/>
            </w:tcMar>
          </w:tcPr>
          <w:p w14:paraId="15C0919B">
            <w:pPr>
              <w:pStyle w:val="6"/>
              <w:spacing w:line="360" w:lineRule="auto"/>
              <w:jc w:val="center"/>
              <w:rPr>
                <w:rFonts w:hint="default" w:ascii="宋体" w:hAnsi="宋体" w:eastAsia="宋体" w:cs="宋体"/>
                <w:color w:val="000000"/>
                <w:kern w:val="2"/>
                <w:sz w:val="24"/>
                <w:szCs w:val="24"/>
                <w:lang w:eastAsia="zh-CN"/>
              </w:rPr>
            </w:pPr>
            <w:r>
              <w:rPr>
                <w:rFonts w:ascii="宋体" w:hAnsi="宋体" w:eastAsia="宋体" w:cs="宋体"/>
                <w:color w:val="000000"/>
                <w:kern w:val="2"/>
                <w:sz w:val="24"/>
                <w:szCs w:val="24"/>
                <w:lang w:eastAsia="zh-CN"/>
              </w:rPr>
              <w:t>100</w:t>
            </w:r>
          </w:p>
        </w:tc>
      </w:tr>
    </w:tbl>
    <w:p w14:paraId="3B786657">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污水处理站恶臭排放标准执行《医疗机构水污染排放标准》（GB18466-2005）中关于废气排放要求的规定。</w:t>
      </w:r>
    </w:p>
    <w:p w14:paraId="75FA325D">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噪声排放执行《工业企业厂界环境噪声排放标准》（GB12348-2008）中2类标准。</w:t>
      </w:r>
    </w:p>
    <w:p w14:paraId="4EB78874">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4、每月5号之前提供上月具有CMA认证的第三方检测机构出具的检测报告，同时对环保部门、市政水务以及卫生监督部门的检查应予以积极配合。</w:t>
      </w:r>
    </w:p>
    <w:p w14:paraId="1BEDC574">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5、水质检测</w:t>
      </w:r>
    </w:p>
    <w:p w14:paraId="161BB74D">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（1）乙方每日对出水进行pH，生化池沉降比，厌氧池、缺氧池、好氧池溶解氧进行监测并记录，仪器设备需自行采购。</w:t>
      </w:r>
    </w:p>
    <w:p w14:paraId="6A650927">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（2）乙方每月对出水pH、SS、COD、BOD5、氨氮、粪大肠菌群进行第三方监测并提交具有CMA有资质的监测报告，同时每季度需提供污水进水口第三方监测报告（监测费供应商承担）。</w:t>
      </w:r>
    </w:p>
    <w:p w14:paraId="0FFA493A">
      <w:pPr>
        <w:spacing w:line="360" w:lineRule="auto"/>
        <w:ind w:firstLine="520" w:firstLineChars="200"/>
        <w:textAlignment w:val="baseline"/>
        <w:rPr>
          <w:rFonts w:ascii="宋体" w:hAnsi="宋体" w:eastAsia="宋体" w:cs="宋体"/>
          <w:color w:val="000000"/>
          <w:spacing w:val="10"/>
          <w:sz w:val="24"/>
        </w:rPr>
      </w:pPr>
      <w:r>
        <w:rPr>
          <w:rFonts w:hint="eastAsia" w:ascii="宋体" w:hAnsi="宋体" w:eastAsia="宋体" w:cs="宋体"/>
          <w:color w:val="000000"/>
          <w:spacing w:val="10"/>
          <w:sz w:val="24"/>
        </w:rPr>
        <w:t>（3）甲方有权对委托具有资质的水质检测机构对乙方提供的结果进行核实，甲方抽查采样时须有乙方工作人员在场，乙方工作人员经通知拒不到现场的不影响结果的有效性，若乙方存在造假行为，应承担相应责任。</w:t>
      </w:r>
    </w:p>
    <w:p w14:paraId="4A42DE76">
      <w:pPr>
        <w:spacing w:line="600" w:lineRule="auto"/>
        <w:rPr>
          <w:rFonts w:ascii="宋体" w:hAnsi="宋体" w:eastAsia="宋体" w:cs="宋体"/>
          <w:b/>
          <w:color w:val="000000"/>
          <w:sz w:val="24"/>
        </w:rPr>
      </w:pPr>
      <w:r>
        <w:rPr>
          <w:rFonts w:hint="eastAsia" w:ascii="宋体" w:hAnsi="宋体" w:eastAsia="宋体" w:cs="宋体"/>
          <w:b/>
          <w:color w:val="000000"/>
          <w:sz w:val="24"/>
        </w:rPr>
        <w:t>四、费用支付</w:t>
      </w:r>
    </w:p>
    <w:p w14:paraId="27EEE57D">
      <w:pPr>
        <w:tabs>
          <w:tab w:val="left" w:pos="434"/>
        </w:tabs>
        <w:spacing w:line="360" w:lineRule="auto"/>
        <w:ind w:firstLine="480" w:firstLineChars="200"/>
        <w:rPr>
          <w:rFonts w:ascii="宋体" w:hAnsi="宋体" w:eastAsia="宋体" w:cs="宋体"/>
          <w:sz w:val="24"/>
        </w:rPr>
      </w:pPr>
      <w:r>
        <w:rPr>
          <w:rFonts w:hint="eastAsia" w:ascii="宋体" w:hAnsi="宋体" w:eastAsia="宋体" w:cs="宋体"/>
          <w:color w:val="000000"/>
          <w:sz w:val="24"/>
        </w:rPr>
        <w:t>1、运维管理费每年￥：</w:t>
      </w:r>
      <w:r>
        <w:rPr>
          <w:rFonts w:hint="eastAsia" w:ascii="宋体" w:hAnsi="宋体" w:eastAsia="宋体" w:cs="宋体"/>
          <w:color w:val="000000"/>
          <w:sz w:val="24"/>
          <w:u w:val="single"/>
        </w:rPr>
        <w:t xml:space="preserve">       元，</w:t>
      </w:r>
      <w:r>
        <w:rPr>
          <w:rFonts w:hint="eastAsia" w:ascii="宋体" w:hAnsi="宋体" w:eastAsia="宋体" w:cs="宋体"/>
          <w:sz w:val="24"/>
          <w:u w:val="single"/>
        </w:rPr>
        <w:t xml:space="preserve">（人民币）大写：        </w:t>
      </w:r>
      <w:r>
        <w:rPr>
          <w:rFonts w:hint="eastAsia" w:ascii="宋体" w:hAnsi="宋体" w:eastAsia="宋体" w:cs="宋体"/>
          <w:sz w:val="24"/>
        </w:rPr>
        <w:t>；包含人工工资成本、日常设备维修保养费、环保营运管理费、税金、劳保、办公、社保及与本项目相关的所有费用，费用一次性包死，不受市场价格变动影响。</w:t>
      </w:r>
    </w:p>
    <w:p w14:paraId="493B3FA1">
      <w:pPr>
        <w:spacing w:line="360" w:lineRule="auto"/>
        <w:ind w:firstLine="480" w:firstLineChars="200"/>
        <w:rPr>
          <w:rFonts w:ascii="宋体" w:hAnsi="宋体" w:eastAsia="宋体" w:cs="宋体"/>
          <w:sz w:val="24"/>
          <w:u w:val="single"/>
        </w:rPr>
      </w:pPr>
      <w:r>
        <w:rPr>
          <w:rFonts w:hint="eastAsia" w:ascii="宋体" w:hAnsi="宋体" w:eastAsia="宋体" w:cs="宋体"/>
          <w:sz w:val="24"/>
        </w:rPr>
        <w:t>2、运维管理费支付方式：污水处理站运行稳定、设施维护到位、出水达标排放并经考核合格后按照每季度支付运营维护费：</w:t>
      </w:r>
      <w:r>
        <w:rPr>
          <w:rFonts w:hint="eastAsia" w:ascii="宋体" w:hAnsi="宋体" w:eastAsia="宋体" w:cs="宋体"/>
          <w:sz w:val="24"/>
          <w:u w:val="single"/>
        </w:rPr>
        <w:t>￥：         元，（人民币）大写：         。</w:t>
      </w:r>
      <w:r>
        <w:rPr>
          <w:rFonts w:hint="eastAsia" w:ascii="宋体" w:hAnsi="宋体" w:eastAsia="宋体" w:cs="宋体"/>
          <w:sz w:val="24"/>
          <w:u w:val="none"/>
        </w:rPr>
        <w:t>甲方支付相应费用前，乙方应提供符合要求的发票，若乙方未及时提供发票或提供发票不符合要求，甲方有权迟延付款，且不负任何责任。</w:t>
      </w:r>
    </w:p>
    <w:p w14:paraId="46E52002">
      <w:pPr>
        <w:spacing w:line="360" w:lineRule="auto"/>
        <w:ind w:firstLine="480" w:firstLineChars="200"/>
        <w:rPr>
          <w:rFonts w:ascii="宋体" w:hAnsi="宋体" w:eastAsia="宋体" w:cs="宋体"/>
          <w:sz w:val="24"/>
        </w:rPr>
      </w:pPr>
      <w:r>
        <w:rPr>
          <w:rFonts w:hint="eastAsia" w:ascii="宋体" w:hAnsi="宋体" w:eastAsia="宋体" w:cs="宋体"/>
          <w:sz w:val="24"/>
        </w:rPr>
        <w:t>若在运行中出现废水超标排放、设备维护不到位导致的设备损坏、人员不安全事故的发生等现象，待上述问题处理完成后支付运营维护费。</w:t>
      </w:r>
    </w:p>
    <w:p w14:paraId="5745A906">
      <w:pPr>
        <w:spacing w:line="360" w:lineRule="auto"/>
        <w:ind w:firstLine="480" w:firstLineChars="200"/>
        <w:rPr>
          <w:rFonts w:ascii="宋体" w:hAnsi="宋体" w:eastAsia="宋体" w:cs="宋体"/>
          <w:sz w:val="24"/>
        </w:rPr>
      </w:pPr>
      <w:r>
        <w:rPr>
          <w:rFonts w:hint="eastAsia" w:ascii="宋体" w:hAnsi="宋体" w:eastAsia="宋体" w:cs="宋体"/>
          <w:sz w:val="24"/>
        </w:rPr>
        <w:t>3、支付账户及账号</w:t>
      </w:r>
    </w:p>
    <w:p w14:paraId="4F36AEF5">
      <w:pPr>
        <w:spacing w:line="360" w:lineRule="auto"/>
        <w:ind w:firstLine="480" w:firstLineChars="200"/>
        <w:rPr>
          <w:rFonts w:ascii="宋体" w:hAnsi="宋体" w:eastAsia="宋体" w:cs="宋体"/>
          <w:sz w:val="24"/>
          <w:u w:val="single"/>
        </w:rPr>
      </w:pPr>
      <w:r>
        <w:rPr>
          <w:rFonts w:hint="eastAsia" w:ascii="宋体" w:hAnsi="宋体" w:eastAsia="宋体" w:cs="宋体"/>
          <w:sz w:val="24"/>
        </w:rPr>
        <w:t>开户行：</w:t>
      </w:r>
      <w:r>
        <w:rPr>
          <w:rFonts w:hint="eastAsia" w:ascii="宋体" w:hAnsi="宋体" w:eastAsia="宋体" w:cs="宋体"/>
          <w:sz w:val="24"/>
          <w:u w:val="single"/>
        </w:rPr>
        <w:t xml:space="preserve">                                </w:t>
      </w:r>
    </w:p>
    <w:p w14:paraId="12DAEE31">
      <w:pPr>
        <w:spacing w:line="360" w:lineRule="auto"/>
        <w:ind w:firstLine="480" w:firstLineChars="200"/>
        <w:rPr>
          <w:rFonts w:ascii="宋体" w:hAnsi="宋体" w:eastAsia="宋体" w:cs="宋体"/>
          <w:w w:val="90"/>
          <w:sz w:val="24"/>
          <w:u w:val="single"/>
        </w:rPr>
      </w:pPr>
      <w:r>
        <w:rPr>
          <w:rFonts w:hint="eastAsia" w:ascii="宋体" w:hAnsi="宋体" w:eastAsia="宋体" w:cs="宋体"/>
          <w:sz w:val="24"/>
        </w:rPr>
        <w:t>账  号：</w:t>
      </w:r>
      <w:r>
        <w:rPr>
          <w:rFonts w:hint="eastAsia" w:ascii="宋体" w:hAnsi="宋体" w:eastAsia="宋体" w:cs="宋体"/>
          <w:color w:val="000000"/>
          <w:sz w:val="24"/>
          <w:u w:val="single"/>
        </w:rPr>
        <w:t xml:space="preserve">                             </w:t>
      </w:r>
      <w:r>
        <w:rPr>
          <w:rFonts w:hint="eastAsia" w:ascii="宋体" w:hAnsi="宋体" w:eastAsia="宋体" w:cs="宋体"/>
          <w:w w:val="90"/>
          <w:sz w:val="24"/>
          <w:u w:val="single"/>
        </w:rPr>
        <w:t xml:space="preserve">   </w:t>
      </w:r>
    </w:p>
    <w:p w14:paraId="0A08FC6D">
      <w:pPr>
        <w:spacing w:line="360" w:lineRule="auto"/>
        <w:ind w:firstLine="480" w:firstLineChars="200"/>
        <w:rPr>
          <w:rFonts w:ascii="宋体" w:hAnsi="宋体" w:eastAsia="宋体" w:cs="宋体"/>
          <w:w w:val="100"/>
          <w:sz w:val="24"/>
          <w:u w:val="none"/>
        </w:rPr>
      </w:pPr>
      <w:r>
        <w:rPr>
          <w:rFonts w:hint="eastAsia" w:ascii="宋体" w:hAnsi="宋体" w:eastAsia="宋体" w:cs="宋体"/>
          <w:w w:val="100"/>
          <w:sz w:val="24"/>
          <w:u w:val="none"/>
        </w:rPr>
        <w:t>开户名：</w:t>
      </w:r>
      <w:r>
        <w:rPr>
          <w:rFonts w:hint="eastAsia" w:ascii="宋体" w:hAnsi="宋体" w:eastAsia="宋体" w:cs="宋体"/>
          <w:color w:val="000000"/>
          <w:sz w:val="24"/>
          <w:u w:val="single"/>
        </w:rPr>
        <w:t xml:space="preserve">                             </w:t>
      </w:r>
      <w:r>
        <w:rPr>
          <w:rFonts w:hint="eastAsia" w:ascii="宋体" w:hAnsi="宋体" w:eastAsia="宋体" w:cs="宋体"/>
          <w:w w:val="90"/>
          <w:sz w:val="24"/>
          <w:u w:val="single"/>
        </w:rPr>
        <w:t xml:space="preserve">   </w:t>
      </w:r>
    </w:p>
    <w:p w14:paraId="51D50ACA">
      <w:pPr>
        <w:spacing w:line="600" w:lineRule="auto"/>
        <w:rPr>
          <w:rFonts w:ascii="宋体" w:hAnsi="宋体" w:eastAsia="宋体" w:cs="宋体"/>
          <w:b/>
          <w:color w:val="000000"/>
          <w:sz w:val="24"/>
        </w:rPr>
      </w:pPr>
      <w:r>
        <w:rPr>
          <w:rFonts w:hint="eastAsia" w:ascii="宋体" w:hAnsi="宋体" w:eastAsia="宋体" w:cs="宋体"/>
          <w:b/>
          <w:color w:val="000000"/>
          <w:sz w:val="24"/>
        </w:rPr>
        <w:t>五、人员要求</w:t>
      </w:r>
    </w:p>
    <w:p w14:paraId="10710D0B">
      <w:pPr>
        <w:spacing w:line="360" w:lineRule="auto"/>
        <w:ind w:firstLine="480" w:firstLineChars="200"/>
        <w:rPr>
          <w:rFonts w:ascii="宋体" w:hAnsi="宋体" w:eastAsia="宋体" w:cs="宋体"/>
          <w:sz w:val="24"/>
        </w:rPr>
      </w:pPr>
      <w:r>
        <w:rPr>
          <w:rFonts w:hint="eastAsia" w:ascii="宋体" w:hAnsi="宋体" w:eastAsia="宋体" w:cs="宋体"/>
          <w:sz w:val="24"/>
        </w:rPr>
        <w:t>1、污水处理站技术管理人员1名：全面负责污水处理站运维管理，按期向医院报告污水处理站运营、管理情况，办理有关环保工作的例行管理手续，向环保部门报送运行记录资料，接受环保管理部门、卫生部门和市政等部门的日常检查工作。负责污水处理站工艺系统参数调整、生化系统、工艺设备、构筑物管理与检修；电气主管主要负责远程控制、配电系统及电路线网的管理与检修。</w:t>
      </w:r>
    </w:p>
    <w:p w14:paraId="23757D78">
      <w:pPr>
        <w:spacing w:line="360" w:lineRule="auto"/>
        <w:ind w:firstLine="480" w:firstLineChars="200"/>
        <w:rPr>
          <w:rFonts w:ascii="宋体" w:hAnsi="宋体" w:eastAsia="宋体" w:cs="宋体"/>
          <w:sz w:val="24"/>
        </w:rPr>
      </w:pPr>
      <w:r>
        <w:rPr>
          <w:rFonts w:hint="eastAsia" w:ascii="宋体" w:hAnsi="宋体" w:eastAsia="宋体" w:cs="宋体"/>
          <w:sz w:val="24"/>
        </w:rPr>
        <w:t>3、污水处理站运维人员3名：主要负责运行、操作及设备的运行管理、维护等。</w:t>
      </w:r>
    </w:p>
    <w:p w14:paraId="4D5DD8C5">
      <w:pPr>
        <w:spacing w:line="360" w:lineRule="auto"/>
        <w:ind w:firstLine="480" w:firstLineChars="200"/>
        <w:rPr>
          <w:rFonts w:ascii="宋体" w:hAnsi="宋体" w:eastAsia="宋体" w:cs="宋体"/>
          <w:sz w:val="24"/>
        </w:rPr>
      </w:pPr>
      <w:r>
        <w:rPr>
          <w:rFonts w:hint="eastAsia" w:ascii="宋体" w:hAnsi="宋体" w:eastAsia="宋体" w:cs="宋体"/>
          <w:sz w:val="24"/>
        </w:rPr>
        <w:t>4、乙方所有工作人员上岗资质证书原件需交医院进行管理备案，并在运维期结束后反还乙方。</w:t>
      </w:r>
    </w:p>
    <w:p w14:paraId="1F9B22B6">
      <w:pPr>
        <w:spacing w:line="360" w:lineRule="auto"/>
        <w:ind w:firstLine="480" w:firstLineChars="200"/>
        <w:rPr>
          <w:rFonts w:ascii="宋体" w:hAnsi="宋体" w:eastAsia="宋体" w:cs="宋体"/>
          <w:sz w:val="24"/>
        </w:rPr>
      </w:pPr>
      <w:r>
        <w:rPr>
          <w:rFonts w:hint="eastAsia" w:ascii="宋体" w:hAnsi="宋体" w:eastAsia="宋体" w:cs="宋体"/>
          <w:sz w:val="24"/>
        </w:rPr>
        <w:t>5、污水处理站实行全天候24小时值班制度，工作必须遵守医院相关管理制度；着装整齐、佩戴工牌、仪表做到干净整洁，按时到岗、不迟到早退、工作时间不得擅自离岗、串岗或做与工作无关的事情。</w:t>
      </w:r>
    </w:p>
    <w:p w14:paraId="007217ED">
      <w:pPr>
        <w:spacing w:line="360" w:lineRule="auto"/>
        <w:ind w:firstLine="480" w:firstLineChars="200"/>
        <w:rPr>
          <w:rFonts w:ascii="宋体" w:hAnsi="宋体" w:eastAsia="宋体" w:cs="宋体"/>
          <w:sz w:val="24"/>
        </w:rPr>
      </w:pPr>
      <w:r>
        <w:rPr>
          <w:rFonts w:hint="eastAsia" w:ascii="宋体" w:hAnsi="宋体" w:eastAsia="宋体" w:cs="宋体"/>
          <w:sz w:val="24"/>
        </w:rPr>
        <w:t>6、甲方认为上述人员不符合要求的，乙方应当及时更换。</w:t>
      </w:r>
    </w:p>
    <w:p w14:paraId="3B70FA0B">
      <w:pPr>
        <w:spacing w:line="600" w:lineRule="auto"/>
        <w:rPr>
          <w:rFonts w:ascii="宋体" w:hAnsi="宋体" w:eastAsia="宋体" w:cs="宋体"/>
          <w:b/>
          <w:color w:val="000000"/>
          <w:sz w:val="24"/>
        </w:rPr>
      </w:pPr>
      <w:r>
        <w:rPr>
          <w:rFonts w:hint="eastAsia" w:ascii="宋体" w:hAnsi="宋体" w:eastAsia="宋体" w:cs="宋体"/>
          <w:b/>
          <w:color w:val="000000"/>
          <w:sz w:val="24"/>
        </w:rPr>
        <w:t>六、责任义务</w:t>
      </w:r>
    </w:p>
    <w:p w14:paraId="21A73327">
      <w:pPr>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1、甲方责任义务</w:t>
      </w:r>
    </w:p>
    <w:p w14:paraId="059F9C73">
      <w:pPr>
        <w:spacing w:line="360" w:lineRule="auto"/>
        <w:ind w:firstLine="480" w:firstLineChars="200"/>
        <w:rPr>
          <w:rFonts w:ascii="宋体" w:hAnsi="宋体" w:eastAsia="宋体" w:cs="宋体"/>
          <w:sz w:val="24"/>
        </w:rPr>
      </w:pPr>
      <w:r>
        <w:rPr>
          <w:rFonts w:hint="eastAsia" w:ascii="宋体" w:hAnsi="宋体" w:eastAsia="宋体" w:cs="宋体"/>
          <w:sz w:val="24"/>
        </w:rPr>
        <w:t>（1）甲方按照国家、省、市、行业有关法律、法规、标准、规范以及医院相关管理规章制度进行监督管理。</w:t>
      </w:r>
    </w:p>
    <w:p w14:paraId="7444B17E">
      <w:pPr>
        <w:spacing w:line="360" w:lineRule="auto"/>
        <w:ind w:firstLine="480" w:firstLineChars="200"/>
        <w:rPr>
          <w:rFonts w:ascii="宋体" w:hAnsi="宋体" w:eastAsia="宋体" w:cs="宋体"/>
          <w:sz w:val="24"/>
        </w:rPr>
      </w:pPr>
      <w:r>
        <w:rPr>
          <w:rFonts w:hint="eastAsia" w:ascii="宋体" w:hAnsi="宋体" w:eastAsia="宋体" w:cs="宋体"/>
          <w:sz w:val="24"/>
        </w:rPr>
        <w:t>（2）甲方每月对乙方进行不定期不定时监督检查，并进行考核评定；若不按照规范或合同执行要求执行责令限期整改，对于未整改或整改不到位者给予每季度运维费用的30%作为违约金并在合同款中扣除。</w:t>
      </w:r>
    </w:p>
    <w:p w14:paraId="67C18546">
      <w:pPr>
        <w:spacing w:line="360" w:lineRule="auto"/>
        <w:ind w:firstLine="480" w:firstLineChars="200"/>
        <w:rPr>
          <w:rFonts w:ascii="宋体" w:hAnsi="宋体" w:eastAsia="宋体" w:cs="宋体"/>
          <w:sz w:val="24"/>
        </w:rPr>
      </w:pPr>
      <w:r>
        <w:rPr>
          <w:rFonts w:hint="eastAsia" w:ascii="宋体" w:hAnsi="宋体" w:eastAsia="宋体" w:cs="宋体"/>
          <w:sz w:val="24"/>
        </w:rPr>
        <w:t>（3）甲方有权更换乙方不服从甲方管理，未按照操作规范进行运行的工作人员，并由乙方承担相应责任。</w:t>
      </w:r>
    </w:p>
    <w:p w14:paraId="199A7A29">
      <w:pPr>
        <w:spacing w:line="360" w:lineRule="auto"/>
        <w:ind w:firstLine="480" w:firstLineChars="200"/>
        <w:rPr>
          <w:rFonts w:ascii="宋体" w:hAnsi="宋体" w:eastAsia="宋体" w:cs="宋体"/>
          <w:sz w:val="24"/>
        </w:rPr>
      </w:pPr>
      <w:r>
        <w:rPr>
          <w:rFonts w:hint="eastAsia" w:ascii="宋体" w:hAnsi="宋体" w:eastAsia="宋体" w:cs="宋体"/>
          <w:sz w:val="24"/>
        </w:rPr>
        <w:t>（4）甲方保障污水处理站设施运维所要的水、电以及消毒药品，如遇突发停水、停电或药品供应短缺及时通知乙方并启动突发环境事件应急预案。</w:t>
      </w:r>
    </w:p>
    <w:p w14:paraId="1C2A2CB2">
      <w:pPr>
        <w:spacing w:line="360" w:lineRule="auto"/>
        <w:ind w:firstLine="480" w:firstLineChars="200"/>
        <w:rPr>
          <w:rFonts w:ascii="宋体" w:hAnsi="宋体" w:eastAsia="宋体" w:cs="宋体"/>
          <w:sz w:val="24"/>
        </w:rPr>
      </w:pPr>
      <w:r>
        <w:rPr>
          <w:rFonts w:hint="eastAsia" w:ascii="宋体" w:hAnsi="宋体" w:eastAsia="宋体" w:cs="宋体"/>
          <w:sz w:val="24"/>
        </w:rPr>
        <w:t>（5）甲方为乙方在污水运行管理服务过程中提供必要的协调和协助支持，以便共同搞好污水处理设施运维管理。</w:t>
      </w:r>
    </w:p>
    <w:p w14:paraId="67E43F79">
      <w:pPr>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2、乙方责任义务</w:t>
      </w:r>
    </w:p>
    <w:p w14:paraId="59B3202B">
      <w:pPr>
        <w:spacing w:line="360" w:lineRule="auto"/>
        <w:ind w:firstLine="480" w:firstLineChars="200"/>
        <w:rPr>
          <w:rFonts w:ascii="宋体" w:hAnsi="宋体" w:eastAsia="宋体" w:cs="宋体"/>
          <w:sz w:val="24"/>
        </w:rPr>
      </w:pPr>
      <w:r>
        <w:rPr>
          <w:rFonts w:hint="eastAsia" w:ascii="宋体" w:hAnsi="宋体" w:eastAsia="宋体" w:cs="宋体"/>
          <w:sz w:val="24"/>
        </w:rPr>
        <w:t>（1）乙方运维期间，污水处理站处理之后废水应达到国家、省市以及行业有关标准规范；并协助甲方提出一切切实可行的技术措施，全方位为污水处理站高效、经济、环保运行提供技术服务。</w:t>
      </w:r>
    </w:p>
    <w:p w14:paraId="74954153">
      <w:pPr>
        <w:spacing w:line="360" w:lineRule="auto"/>
        <w:ind w:firstLine="480" w:firstLineChars="200"/>
        <w:rPr>
          <w:rFonts w:ascii="宋体" w:hAnsi="宋体" w:eastAsia="宋体" w:cs="宋体"/>
          <w:sz w:val="24"/>
        </w:rPr>
      </w:pPr>
      <w:r>
        <w:rPr>
          <w:rFonts w:hint="eastAsia" w:ascii="宋体" w:hAnsi="宋体" w:eastAsia="宋体" w:cs="宋体"/>
          <w:sz w:val="24"/>
        </w:rPr>
        <w:t>（2）乙方须按照甲方的规定配备技术经验丰富的管理及运行人员，定期开展安全、技术及应急培训并记录在案；每年开展突发环境事件应急预案演练，检验应急处置能力并查找短缺。</w:t>
      </w:r>
    </w:p>
    <w:p w14:paraId="36B77784">
      <w:pPr>
        <w:spacing w:line="360" w:lineRule="auto"/>
        <w:ind w:firstLine="480" w:firstLineChars="200"/>
        <w:rPr>
          <w:rFonts w:ascii="宋体" w:hAnsi="宋体" w:eastAsia="宋体" w:cs="宋体"/>
          <w:sz w:val="24"/>
        </w:rPr>
      </w:pPr>
      <w:r>
        <w:rPr>
          <w:rFonts w:hint="eastAsia" w:ascii="宋体" w:hAnsi="宋体" w:eastAsia="宋体" w:cs="宋体"/>
          <w:sz w:val="24"/>
        </w:rPr>
        <w:t>（3）乙方在运维期间，必须严格按污水处理站设备操作规程、安全操作规程进行操作，确保污水处理达标排放，并保证人身安全。如果在合同期内发生重大过失造成安全责任事故、经济损失或人员伤亡，责任完全由乙方负责并承担甲方经济损失。</w:t>
      </w:r>
    </w:p>
    <w:p w14:paraId="31DE27DF">
      <w:pPr>
        <w:spacing w:line="360" w:lineRule="auto"/>
        <w:ind w:firstLine="480" w:firstLineChars="200"/>
        <w:rPr>
          <w:rFonts w:ascii="宋体" w:hAnsi="宋体" w:eastAsia="宋体" w:cs="宋体"/>
          <w:sz w:val="24"/>
        </w:rPr>
      </w:pPr>
      <w:r>
        <w:rPr>
          <w:rFonts w:hint="eastAsia" w:ascii="宋体" w:hAnsi="宋体" w:eastAsia="宋体" w:cs="宋体"/>
          <w:sz w:val="24"/>
        </w:rPr>
        <w:t>（4）按照《医疗废物管理条规定》为从事医疗废物转运、污水处理站运行人员提供安全防护用品、安全作业工具并进行健康体检，以备卫生监督部门的检查和保障工作人员的身体健康。</w:t>
      </w:r>
    </w:p>
    <w:p w14:paraId="35756D4C">
      <w:pPr>
        <w:spacing w:line="360" w:lineRule="auto"/>
        <w:ind w:firstLine="480" w:firstLineChars="200"/>
        <w:rPr>
          <w:rFonts w:ascii="宋体" w:hAnsi="宋体" w:eastAsia="宋体" w:cs="宋体"/>
          <w:sz w:val="24"/>
        </w:rPr>
      </w:pPr>
      <w:r>
        <w:rPr>
          <w:rFonts w:hint="eastAsia" w:ascii="宋体" w:hAnsi="宋体" w:eastAsia="宋体" w:cs="宋体"/>
          <w:sz w:val="24"/>
        </w:rPr>
        <w:t>（5）污水处理站的运行日志、监测记录、维修记录、固体废弃物处理台帐、污水排放记录表等必须由乙方详实纪录并妥善保存，当合同期满后，完整移交给甲方。</w:t>
      </w:r>
    </w:p>
    <w:p w14:paraId="0A907709">
      <w:pPr>
        <w:spacing w:line="360" w:lineRule="auto"/>
        <w:ind w:firstLine="480" w:firstLineChars="200"/>
        <w:rPr>
          <w:rFonts w:ascii="宋体" w:hAnsi="宋体" w:eastAsia="宋体" w:cs="宋体"/>
          <w:sz w:val="24"/>
        </w:rPr>
      </w:pPr>
      <w:r>
        <w:rPr>
          <w:rFonts w:hint="eastAsia" w:ascii="宋体" w:hAnsi="宋体" w:eastAsia="宋体" w:cs="宋体"/>
          <w:sz w:val="24"/>
        </w:rPr>
        <w:t>（6）乙方工作人员必须遵守医院的各项规章制度，服从甲方管理人员检查和监督。并且要保护好站内的一切公共设施、消防设施及保持周边环境卫生，违者按甲方规定处罚。</w:t>
      </w:r>
    </w:p>
    <w:p w14:paraId="2BEDDDF7">
      <w:pPr>
        <w:spacing w:line="360" w:lineRule="auto"/>
        <w:ind w:firstLine="480" w:firstLineChars="200"/>
        <w:rPr>
          <w:rFonts w:ascii="宋体" w:hAnsi="宋体" w:eastAsia="宋体" w:cs="宋体"/>
          <w:sz w:val="24"/>
        </w:rPr>
      </w:pPr>
      <w:r>
        <w:rPr>
          <w:rFonts w:hint="eastAsia" w:ascii="宋体" w:hAnsi="宋体" w:eastAsia="宋体" w:cs="宋体"/>
          <w:sz w:val="24"/>
        </w:rPr>
        <w:t>（7）污水处理当中产生的固体废物，由乙方负责按生态环境部门的相关规定进行处理，处理费用由乙方承担。</w:t>
      </w:r>
    </w:p>
    <w:p w14:paraId="5A6B79BA">
      <w:pPr>
        <w:spacing w:line="360" w:lineRule="auto"/>
        <w:ind w:firstLine="480" w:firstLineChars="200"/>
        <w:rPr>
          <w:rFonts w:ascii="宋体" w:hAnsi="宋体" w:eastAsia="宋体" w:cs="宋体"/>
          <w:sz w:val="24"/>
        </w:rPr>
      </w:pPr>
      <w:r>
        <w:rPr>
          <w:rFonts w:hint="eastAsia" w:ascii="宋体" w:hAnsi="宋体" w:eastAsia="宋体" w:cs="宋体"/>
          <w:sz w:val="24"/>
        </w:rPr>
        <w:t>（8）乙方应保证污水处理站设施每日正常运行，及时对系统设备、设施运行过程的故障进行及时维修维护，按照甲方规定进行系统定期维护保养、清淤清渣工作。</w:t>
      </w:r>
    </w:p>
    <w:p w14:paraId="679B21B5">
      <w:pPr>
        <w:spacing w:line="360" w:lineRule="auto"/>
        <w:ind w:firstLine="480" w:firstLineChars="200"/>
        <w:rPr>
          <w:rFonts w:ascii="宋体" w:hAnsi="宋体" w:eastAsia="宋体" w:cs="宋体"/>
          <w:sz w:val="24"/>
        </w:rPr>
      </w:pPr>
      <w:r>
        <w:rPr>
          <w:rFonts w:hint="eastAsia" w:ascii="宋体" w:hAnsi="宋体" w:eastAsia="宋体" w:cs="宋体"/>
          <w:sz w:val="24"/>
        </w:rPr>
        <w:t>（9）因设施设备检修需停机时或突发意外情况时乙方应及时向甲方汇报情况，并按照突发事件应急预案妥善处理。</w:t>
      </w:r>
    </w:p>
    <w:p w14:paraId="7D24A4AD">
      <w:pPr>
        <w:spacing w:line="360" w:lineRule="auto"/>
        <w:ind w:firstLine="480" w:firstLineChars="200"/>
        <w:rPr>
          <w:rFonts w:ascii="宋体" w:hAnsi="宋体" w:eastAsia="宋体" w:cs="宋体"/>
          <w:sz w:val="24"/>
        </w:rPr>
      </w:pPr>
      <w:r>
        <w:rPr>
          <w:rFonts w:hint="eastAsia" w:ascii="宋体" w:hAnsi="宋体" w:eastAsia="宋体" w:cs="宋体"/>
          <w:sz w:val="24"/>
        </w:rPr>
        <w:t>（10）如果乙方因故与甲方解除合同，必须提前两个月通知甲方，否则视为违约，甲方因故与乙方解除合同，应提前一个月通知乙方，否则视为违约。</w:t>
      </w:r>
    </w:p>
    <w:p w14:paraId="4ADC885B">
      <w:pPr>
        <w:spacing w:line="600" w:lineRule="auto"/>
        <w:rPr>
          <w:rFonts w:ascii="宋体" w:hAnsi="宋体" w:eastAsia="宋体" w:cs="宋体"/>
          <w:b/>
          <w:color w:val="000000"/>
          <w:sz w:val="24"/>
        </w:rPr>
      </w:pPr>
      <w:r>
        <w:rPr>
          <w:rFonts w:hint="eastAsia" w:ascii="宋体" w:hAnsi="宋体" w:eastAsia="宋体" w:cs="宋体"/>
          <w:b/>
          <w:color w:val="000000"/>
          <w:sz w:val="24"/>
        </w:rPr>
        <w:t>七、违约责任</w:t>
      </w:r>
    </w:p>
    <w:p w14:paraId="5EB8FB6C">
      <w:pPr>
        <w:spacing w:line="360" w:lineRule="auto"/>
        <w:ind w:firstLine="480" w:firstLineChars="200"/>
        <w:rPr>
          <w:rFonts w:ascii="宋体" w:hAnsi="宋体" w:eastAsia="宋体" w:cs="宋体"/>
          <w:sz w:val="24"/>
        </w:rPr>
      </w:pPr>
      <w:r>
        <w:rPr>
          <w:rFonts w:hint="eastAsia" w:ascii="宋体" w:hAnsi="宋体" w:eastAsia="宋体" w:cs="宋体"/>
          <w:sz w:val="24"/>
        </w:rPr>
        <w:t>1、本合同签订完后交甲方所在地环保部门备案，如污水处理不达标排放，或造成重大污染事故，造成相关部门罚款应由乙方负全部责任并承担排污费及相关罚款。如给第三方造成损失应由乙方全部承担相关责任。</w:t>
      </w:r>
    </w:p>
    <w:p w14:paraId="490E44F8">
      <w:pPr>
        <w:spacing w:line="360" w:lineRule="auto"/>
        <w:ind w:firstLine="480" w:firstLineChars="200"/>
        <w:rPr>
          <w:rFonts w:ascii="宋体" w:hAnsi="宋体" w:eastAsia="宋体" w:cs="宋体"/>
          <w:sz w:val="24"/>
        </w:rPr>
      </w:pPr>
      <w:r>
        <w:rPr>
          <w:rFonts w:hint="eastAsia" w:ascii="宋体" w:hAnsi="宋体" w:eastAsia="宋体" w:cs="宋体"/>
          <w:sz w:val="24"/>
        </w:rPr>
        <w:t>2、乙方运营期间，保证甲方的设备设施完好无损，正常运行，严格按照处理工艺执行，保证污水处理达标。如不按正常维护保养造成损坏必须在甲方规定的时间内彻底整改，费用由乙方承担。</w:t>
      </w:r>
    </w:p>
    <w:p w14:paraId="4790C5A9">
      <w:pPr>
        <w:spacing w:line="360" w:lineRule="auto"/>
        <w:ind w:firstLine="480" w:firstLineChars="200"/>
        <w:rPr>
          <w:rFonts w:ascii="宋体" w:hAnsi="宋体" w:eastAsia="宋体" w:cs="宋体"/>
          <w:sz w:val="24"/>
        </w:rPr>
      </w:pPr>
      <w:r>
        <w:rPr>
          <w:rFonts w:hint="eastAsia" w:ascii="宋体" w:hAnsi="宋体" w:eastAsia="宋体" w:cs="宋体"/>
          <w:sz w:val="24"/>
        </w:rPr>
        <w:t>3、甲方不定时对乙方处理后的污水进行检测，如发现乙方处理污水不达标，每超标一次，甲方将在乙方当季的运营管理费用中扣除10%作为乙方违约金。如连续两次出现超标情况甲方扣除乙方当季的运维管理费用并可以解除合同，甲方不承担任何责任。</w:t>
      </w:r>
    </w:p>
    <w:p w14:paraId="22AD0C78">
      <w:pPr>
        <w:spacing w:line="360" w:lineRule="auto"/>
        <w:ind w:firstLine="480" w:firstLineChars="200"/>
        <w:rPr>
          <w:rFonts w:ascii="宋体" w:hAnsi="宋体" w:eastAsia="宋体" w:cs="宋体"/>
          <w:sz w:val="24"/>
        </w:rPr>
      </w:pPr>
      <w:r>
        <w:rPr>
          <w:rFonts w:hint="eastAsia" w:ascii="宋体" w:hAnsi="宋体" w:eastAsia="宋体" w:cs="宋体"/>
          <w:sz w:val="24"/>
        </w:rPr>
        <w:t>4、乙方运维期间未按照甲方规定人数上岗工作，未上岗人员费用以违约金形式在每季度运维费中扣除（缺勤500元/次）。</w:t>
      </w:r>
    </w:p>
    <w:p w14:paraId="049EF985">
      <w:pPr>
        <w:spacing w:line="360" w:lineRule="auto"/>
        <w:ind w:firstLine="480" w:firstLineChars="200"/>
        <w:rPr>
          <w:rFonts w:ascii="宋体" w:hAnsi="宋体" w:eastAsia="宋体" w:cs="宋体"/>
          <w:sz w:val="24"/>
        </w:rPr>
      </w:pPr>
      <w:r>
        <w:rPr>
          <w:rFonts w:hint="eastAsia" w:ascii="宋体" w:hAnsi="宋体" w:eastAsia="宋体" w:cs="宋体"/>
          <w:sz w:val="24"/>
        </w:rPr>
        <w:t>5、乙方在运维期间严格遵照危险品（消毒药剂）安全管理规定保管，如有丢失应协助公安机关进行调查，待调查结束后扣除本季度运维管理费并立即解除合同关系。</w:t>
      </w:r>
    </w:p>
    <w:p w14:paraId="073D44B5">
      <w:pPr>
        <w:spacing w:line="360" w:lineRule="auto"/>
        <w:ind w:firstLine="480" w:firstLineChars="200"/>
        <w:rPr>
          <w:rFonts w:ascii="宋体" w:hAnsi="宋体" w:eastAsia="宋体" w:cs="宋体"/>
          <w:sz w:val="24"/>
        </w:rPr>
      </w:pPr>
      <w:r>
        <w:rPr>
          <w:rFonts w:hint="eastAsia" w:ascii="宋体" w:hAnsi="宋体" w:eastAsia="宋体" w:cs="宋体"/>
          <w:sz w:val="24"/>
        </w:rPr>
        <w:t>6、甲方制定污水处理站考核办法并作为合同有效附件，甲方每季度付款以三个月考核评估平均分作为付款依据；平均分大于85分方可付款，小于85分每少一分以违约金1000元从季度运维费用中扣除。</w:t>
      </w:r>
    </w:p>
    <w:p w14:paraId="2341EF2A">
      <w:pPr>
        <w:spacing w:line="360" w:lineRule="auto"/>
        <w:ind w:firstLine="480" w:firstLineChars="200"/>
        <w:rPr>
          <w:rFonts w:ascii="宋体" w:hAnsi="宋体" w:eastAsia="宋体" w:cs="宋体"/>
          <w:sz w:val="24"/>
        </w:rPr>
      </w:pPr>
      <w:r>
        <w:rPr>
          <w:rFonts w:hint="eastAsia" w:ascii="宋体" w:hAnsi="宋体" w:eastAsia="宋体" w:cs="宋体"/>
          <w:sz w:val="24"/>
        </w:rPr>
        <w:t>7、如一方违反有关法律规定或违约，另一方有权解除合同，违约方应赔偿给另一方因违约造成的损失，包括但不限于实际损失、可预期利益、委托第三方产生的费用，以及另一方因维权所产生的诉讼费、律师费、公证费、保全费、差旅费等全部相关费用。</w:t>
      </w:r>
    </w:p>
    <w:p w14:paraId="35779554">
      <w:pPr>
        <w:spacing w:line="360" w:lineRule="auto"/>
        <w:ind w:firstLine="480" w:firstLineChars="200"/>
        <w:rPr>
          <w:rFonts w:ascii="宋体" w:hAnsi="宋体" w:eastAsia="宋体" w:cs="宋体"/>
          <w:sz w:val="24"/>
        </w:rPr>
      </w:pPr>
      <w:r>
        <w:rPr>
          <w:rFonts w:hint="eastAsia" w:ascii="宋体" w:hAnsi="宋体" w:eastAsia="宋体" w:cs="宋体"/>
          <w:sz w:val="24"/>
        </w:rPr>
        <w:t>8、因乙方违约，甲方解除合同的，乙方除承担上述约定责任之外，还应承担本合同总金额20%的违约金，给甲方造成损失的，还应承担损失赔偿责任。范围包括给甲方造成的实际损失、可预期利益、委托第三方产生的费用。</w:t>
      </w:r>
    </w:p>
    <w:p w14:paraId="50FB7FBC">
      <w:pPr>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八、其他事项</w:t>
      </w:r>
    </w:p>
    <w:p w14:paraId="5CDC2240">
      <w:pPr>
        <w:spacing w:line="360" w:lineRule="auto"/>
        <w:ind w:firstLine="480" w:firstLineChars="200"/>
        <w:rPr>
          <w:rFonts w:ascii="宋体" w:hAnsi="宋体" w:eastAsia="宋体" w:cs="宋体"/>
          <w:sz w:val="24"/>
        </w:rPr>
      </w:pPr>
      <w:r>
        <w:rPr>
          <w:rFonts w:hint="eastAsia" w:ascii="宋体" w:hAnsi="宋体" w:eastAsia="宋体" w:cs="宋体"/>
          <w:sz w:val="24"/>
        </w:rPr>
        <w:t>1、本合同经甲、乙双方法定代表人或授权代表签字，加盖合同专用章后生效。合同一式捌份，甲方陆份、乙方贰份。</w:t>
      </w:r>
    </w:p>
    <w:p w14:paraId="690538E2">
      <w:pPr>
        <w:spacing w:line="360" w:lineRule="auto"/>
        <w:ind w:firstLine="480" w:firstLineChars="200"/>
        <w:rPr>
          <w:rFonts w:ascii="宋体" w:hAnsi="宋体" w:eastAsia="宋体" w:cs="宋体"/>
          <w:sz w:val="24"/>
        </w:rPr>
      </w:pPr>
      <w:r>
        <w:rPr>
          <w:rFonts w:hint="eastAsia" w:ascii="宋体" w:hAnsi="宋体" w:eastAsia="宋体" w:cs="宋体"/>
          <w:sz w:val="24"/>
        </w:rPr>
        <w:t>2、甲方招标文件、乙方投标文件作为合同有效附件，具有同等法律效力。</w:t>
      </w:r>
    </w:p>
    <w:p w14:paraId="0A0F225C">
      <w:pPr>
        <w:spacing w:line="360" w:lineRule="auto"/>
        <w:ind w:firstLine="480" w:firstLineChars="200"/>
        <w:rPr>
          <w:rFonts w:ascii="宋体" w:hAnsi="宋体" w:eastAsia="宋体" w:cs="宋体"/>
          <w:sz w:val="24"/>
        </w:rPr>
      </w:pPr>
      <w:r>
        <w:rPr>
          <w:rFonts w:hint="eastAsia" w:ascii="宋体" w:hAnsi="宋体" w:eastAsia="宋体" w:cs="宋体"/>
          <w:sz w:val="24"/>
        </w:rPr>
        <w:t>3、合同中其他未尽事宜由双方协商解决，并作出补充规定，补充规定与本合同具有同等效力。</w:t>
      </w:r>
    </w:p>
    <w:p w14:paraId="5FAB1D53">
      <w:pPr>
        <w:spacing w:line="360" w:lineRule="auto"/>
        <w:ind w:firstLine="480" w:firstLineChars="200"/>
        <w:rPr>
          <w:rFonts w:ascii="宋体" w:hAnsi="宋体" w:eastAsia="宋体" w:cs="宋体"/>
          <w:sz w:val="24"/>
        </w:rPr>
      </w:pPr>
      <w:r>
        <w:rPr>
          <w:rFonts w:hint="eastAsia" w:ascii="宋体" w:hAnsi="宋体" w:eastAsia="宋体" w:cs="宋体"/>
          <w:sz w:val="24"/>
        </w:rPr>
        <w:t>4、本合同发生争议时，由当事人双方协商解决。协商不成，由甲方所在地人民法院起诉。</w:t>
      </w:r>
    </w:p>
    <w:p w14:paraId="58C6C49B">
      <w:pPr>
        <w:spacing w:line="360" w:lineRule="auto"/>
        <w:ind w:firstLine="482" w:firstLineChars="200"/>
        <w:rPr>
          <w:rFonts w:ascii="宋体" w:hAnsi="宋体" w:eastAsia="宋体" w:cs="宋体"/>
          <w:b/>
          <w:bCs/>
          <w:sz w:val="24"/>
        </w:rPr>
      </w:pPr>
      <w:r>
        <w:rPr>
          <w:rFonts w:hint="eastAsia" w:ascii="宋体" w:hAnsi="宋体" w:eastAsia="宋体" w:cs="宋体"/>
          <w:b/>
          <w:bCs/>
          <w:sz w:val="24"/>
        </w:rPr>
        <w:t>附件：污水处理站运维监管考核办法</w:t>
      </w:r>
    </w:p>
    <w:p w14:paraId="5D427800">
      <w:pPr>
        <w:tabs>
          <w:tab w:val="left" w:pos="480"/>
        </w:tabs>
        <w:spacing w:line="500" w:lineRule="exact"/>
        <w:rPr>
          <w:rFonts w:ascii="宋体" w:hAnsi="宋体"/>
          <w:sz w:val="24"/>
          <w:szCs w:val="21"/>
        </w:rPr>
      </w:pPr>
    </w:p>
    <w:p w14:paraId="3D42F7CA">
      <w:pPr>
        <w:tabs>
          <w:tab w:val="left" w:pos="480"/>
        </w:tabs>
        <w:spacing w:line="500" w:lineRule="exact"/>
        <w:rPr>
          <w:rFonts w:ascii="宋体" w:hAnsi="宋体" w:eastAsia="宋体" w:cs="宋体"/>
          <w:b/>
          <w:bCs/>
          <w:sz w:val="24"/>
        </w:rPr>
      </w:pPr>
      <w:r>
        <w:rPr>
          <w:rFonts w:hint="eastAsia" w:ascii="宋体" w:hAnsi="宋体" w:eastAsia="宋体" w:cs="宋体"/>
          <w:b/>
          <w:bCs/>
          <w:sz w:val="24"/>
        </w:rPr>
        <w:t>甲  方：</w:t>
      </w:r>
      <w:r>
        <w:rPr>
          <w:rFonts w:hint="eastAsia" w:ascii="宋体" w:hAnsi="宋体" w:eastAsia="宋体" w:cs="宋体"/>
          <w:b/>
          <w:bCs/>
          <w:kern w:val="44"/>
          <w:sz w:val="24"/>
        </w:rPr>
        <w:t>西安市第八医院（盖章）</w:t>
      </w:r>
      <w:r>
        <w:rPr>
          <w:rFonts w:hint="eastAsia" w:ascii="宋体" w:hAnsi="宋体" w:eastAsia="宋体" w:cs="宋体"/>
          <w:b/>
          <w:bCs/>
          <w:sz w:val="24"/>
        </w:rPr>
        <w:t xml:space="preserve">         乙  方（</w:t>
      </w:r>
      <w:r>
        <w:rPr>
          <w:rFonts w:hint="eastAsia" w:ascii="宋体" w:hAnsi="宋体" w:eastAsia="宋体" w:cs="宋体"/>
          <w:b/>
          <w:bCs/>
          <w:kern w:val="44"/>
          <w:sz w:val="24"/>
        </w:rPr>
        <w:t>盖章</w:t>
      </w:r>
      <w:r>
        <w:rPr>
          <w:rFonts w:hint="eastAsia" w:ascii="宋体" w:hAnsi="宋体" w:eastAsia="宋体" w:cs="宋体"/>
          <w:b/>
          <w:bCs/>
          <w:sz w:val="24"/>
        </w:rPr>
        <w:t>）</w:t>
      </w:r>
    </w:p>
    <w:p w14:paraId="732F88CA">
      <w:pPr>
        <w:tabs>
          <w:tab w:val="left" w:pos="480"/>
        </w:tabs>
        <w:spacing w:line="500" w:lineRule="exact"/>
        <w:ind w:left="5628" w:hanging="5542" w:hangingChars="2300"/>
        <w:rPr>
          <w:rFonts w:ascii="宋体" w:hAnsi="宋体" w:eastAsia="宋体" w:cs="宋体"/>
          <w:b/>
          <w:bCs/>
          <w:sz w:val="24"/>
        </w:rPr>
      </w:pPr>
      <w:r>
        <w:rPr>
          <w:rFonts w:hint="eastAsia" w:ascii="宋体" w:hAnsi="宋体" w:eastAsia="宋体" w:cs="宋体"/>
          <w:b/>
          <w:bCs/>
          <w:sz w:val="24"/>
        </w:rPr>
        <w:t>地   址： 丈八东路2号                 地   址：</w:t>
      </w:r>
    </w:p>
    <w:p w14:paraId="286D0CC8">
      <w:pPr>
        <w:tabs>
          <w:tab w:val="left" w:pos="480"/>
        </w:tabs>
        <w:spacing w:line="500" w:lineRule="exact"/>
        <w:rPr>
          <w:rFonts w:ascii="宋体" w:hAnsi="宋体" w:eastAsia="宋体" w:cs="宋体"/>
          <w:b/>
          <w:bCs/>
          <w:sz w:val="24"/>
        </w:rPr>
      </w:pPr>
      <w:r>
        <w:rPr>
          <w:rFonts w:hint="eastAsia" w:ascii="宋体" w:hAnsi="宋体" w:eastAsia="宋体" w:cs="宋体"/>
          <w:b/>
          <w:bCs/>
          <w:sz w:val="24"/>
        </w:rPr>
        <w:t xml:space="preserve">法定代表人：                            法定代表人： </w:t>
      </w:r>
    </w:p>
    <w:p w14:paraId="50AEA33A">
      <w:pPr>
        <w:tabs>
          <w:tab w:val="left" w:pos="480"/>
        </w:tabs>
        <w:spacing w:line="500" w:lineRule="exact"/>
        <w:rPr>
          <w:rFonts w:ascii="宋体" w:hAnsi="宋体" w:eastAsia="宋体" w:cs="宋体"/>
          <w:b/>
          <w:bCs/>
          <w:sz w:val="24"/>
        </w:rPr>
      </w:pPr>
      <w:r>
        <w:rPr>
          <w:rFonts w:hint="eastAsia" w:ascii="宋体" w:hAnsi="宋体" w:eastAsia="宋体" w:cs="宋体"/>
          <w:b/>
          <w:bCs/>
          <w:sz w:val="24"/>
        </w:rPr>
        <w:t>委托人：                                委托人：</w:t>
      </w:r>
    </w:p>
    <w:p w14:paraId="292F2393">
      <w:pPr>
        <w:spacing w:line="500" w:lineRule="exact"/>
        <w:ind w:left="6117" w:hanging="6023" w:hangingChars="2500"/>
        <w:rPr>
          <w:rFonts w:ascii="宋体" w:hAnsi="宋体" w:eastAsia="宋体" w:cs="宋体"/>
          <w:b/>
          <w:bCs/>
          <w:sz w:val="24"/>
        </w:rPr>
      </w:pPr>
      <w:r>
        <w:rPr>
          <w:rFonts w:hint="eastAsia" w:ascii="宋体" w:hAnsi="宋体" w:eastAsia="宋体" w:cs="宋体"/>
          <w:b/>
          <w:bCs/>
          <w:sz w:val="24"/>
        </w:rPr>
        <w:t>经办人：                                经办人：</w:t>
      </w:r>
    </w:p>
    <w:p w14:paraId="0B333002">
      <w:pPr>
        <w:tabs>
          <w:tab w:val="left" w:pos="480"/>
        </w:tabs>
        <w:spacing w:line="500" w:lineRule="exact"/>
        <w:rPr>
          <w:rFonts w:ascii="宋体" w:hAnsi="宋体" w:eastAsia="宋体" w:cs="宋体"/>
          <w:b/>
          <w:bCs/>
          <w:sz w:val="24"/>
        </w:rPr>
      </w:pPr>
      <w:r>
        <w:rPr>
          <w:rFonts w:hint="eastAsia" w:ascii="宋体" w:hAnsi="宋体" w:eastAsia="宋体" w:cs="宋体"/>
          <w:b/>
          <w:bCs/>
          <w:sz w:val="24"/>
        </w:rPr>
        <w:t>联系电话：                              联系电话：</w:t>
      </w:r>
    </w:p>
    <w:p w14:paraId="4997316E">
      <w:pPr>
        <w:tabs>
          <w:tab w:val="left" w:pos="480"/>
        </w:tabs>
        <w:spacing w:line="500" w:lineRule="exact"/>
        <w:rPr>
          <w:rFonts w:ascii="宋体" w:hAnsi="宋体" w:eastAsia="宋体" w:cs="宋体"/>
          <w:b/>
          <w:bCs/>
          <w:sz w:val="24"/>
        </w:rPr>
      </w:pPr>
      <w:r>
        <w:rPr>
          <w:rFonts w:hint="eastAsia" w:ascii="宋体" w:hAnsi="宋体" w:eastAsia="宋体" w:cs="宋体"/>
          <w:b/>
          <w:bCs/>
          <w:sz w:val="24"/>
        </w:rPr>
        <w:t>签订日期：    年   月   日              签订日期：     年   月   日</w:t>
      </w:r>
    </w:p>
    <w:p w14:paraId="796375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2B5D6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customStyle="1" w:styleId="5">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标题1"/>
    <w:basedOn w:val="1"/>
    <w:qFormat/>
    <w:uiPriority w:val="0"/>
    <w:pPr>
      <w:jc w:val="center"/>
    </w:pPr>
    <w:rPr>
      <w:b/>
      <w:sz w:val="5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2025-06-10T02:44:28Z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