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8398D">
      <w:pPr>
        <w:rPr>
          <w:rFonts w:asciiTheme="majorEastAsia" w:hAnsiTheme="majorEastAsia" w:eastAsiaTheme="majorEastAsia"/>
          <w:b/>
          <w:sz w:val="32"/>
          <w:szCs w:val="32"/>
        </w:rPr>
      </w:pPr>
      <w:bookmarkStart w:id="0" w:name="_GoBack"/>
      <w:bookmarkEnd w:id="0"/>
      <w:r>
        <w:rPr>
          <w:rFonts w:hint="eastAsia" w:asciiTheme="majorEastAsia" w:hAnsiTheme="majorEastAsia" w:eastAsiaTheme="majorEastAsia"/>
          <w:b/>
          <w:sz w:val="32"/>
          <w:szCs w:val="32"/>
        </w:rPr>
        <w:t>合同模板</w:t>
      </w:r>
    </w:p>
    <w:p w14:paraId="54208BCC">
      <w:pPr>
        <w:ind w:firstLine="1898" w:firstLineChars="350"/>
        <w:rPr>
          <w:rFonts w:eastAsia="黑体"/>
          <w:b/>
          <w:spacing w:val="-20"/>
          <w:sz w:val="58"/>
          <w:szCs w:val="58"/>
        </w:rPr>
      </w:pPr>
      <w:r>
        <w:rPr>
          <w:rFonts w:hint="eastAsia" w:eastAsia="黑体"/>
          <w:b/>
          <w:spacing w:val="-20"/>
          <w:sz w:val="58"/>
          <w:szCs w:val="58"/>
        </w:rPr>
        <w:t>X X X X X X</w:t>
      </w:r>
      <w:r>
        <w:rPr>
          <w:rFonts w:hint="eastAsia" w:eastAsia="黑体"/>
          <w:b/>
          <w:color w:val="FF0000"/>
          <w:spacing w:val="-20"/>
          <w:sz w:val="58"/>
          <w:szCs w:val="58"/>
        </w:rPr>
        <w:t>（项目名称）</w:t>
      </w:r>
    </w:p>
    <w:p w14:paraId="4391E012">
      <w:pPr>
        <w:jc w:val="center"/>
        <w:rPr>
          <w:rFonts w:ascii="黑体" w:eastAsia="黑体"/>
          <w:b/>
          <w:sz w:val="72"/>
          <w:szCs w:val="72"/>
        </w:rPr>
      </w:pPr>
      <w:r>
        <w:rPr>
          <w:rFonts w:hint="eastAsia" w:ascii="黑体" w:eastAsia="黑体"/>
          <w:b/>
          <w:sz w:val="72"/>
          <w:szCs w:val="72"/>
        </w:rPr>
        <w:t>供 货 合 同</w:t>
      </w:r>
    </w:p>
    <w:p w14:paraId="3442CDA3">
      <w:pPr>
        <w:jc w:val="center"/>
        <w:rPr>
          <w:rFonts w:ascii="黑体" w:eastAsia="黑体"/>
          <w:sz w:val="30"/>
          <w:szCs w:val="30"/>
        </w:rPr>
      </w:pPr>
      <w:r>
        <w:rPr>
          <w:rFonts w:hint="eastAsia" w:ascii="黑体" w:eastAsia="黑体"/>
          <w:sz w:val="30"/>
          <w:szCs w:val="30"/>
        </w:rPr>
        <w:t>（编号：XCZX201X-XXXX）</w:t>
      </w:r>
    </w:p>
    <w:p w14:paraId="0998F368">
      <w:pPr>
        <w:jc w:val="center"/>
        <w:rPr>
          <w:rFonts w:ascii="黑体" w:eastAsia="黑体"/>
          <w:sz w:val="30"/>
          <w:szCs w:val="30"/>
        </w:rPr>
      </w:pPr>
    </w:p>
    <w:p w14:paraId="6C0D9AC9">
      <w:pPr>
        <w:jc w:val="center"/>
        <w:rPr>
          <w:rFonts w:ascii="黑体" w:eastAsia="黑体"/>
          <w:sz w:val="30"/>
          <w:szCs w:val="30"/>
        </w:rPr>
      </w:pPr>
    </w:p>
    <w:p w14:paraId="53E71A01">
      <w:pPr>
        <w:jc w:val="center"/>
        <w:rPr>
          <w:rFonts w:ascii="黑体" w:eastAsia="黑体"/>
          <w:sz w:val="30"/>
          <w:szCs w:val="30"/>
        </w:rPr>
      </w:pPr>
    </w:p>
    <w:p w14:paraId="434314A9">
      <w:pPr>
        <w:jc w:val="center"/>
        <w:rPr>
          <w:rFonts w:ascii="黑体" w:eastAsia="黑体"/>
          <w:sz w:val="30"/>
          <w:szCs w:val="30"/>
        </w:rPr>
      </w:pPr>
    </w:p>
    <w:p w14:paraId="59F901AB">
      <w:pPr>
        <w:jc w:val="center"/>
        <w:rPr>
          <w:rFonts w:ascii="黑体" w:eastAsia="黑体"/>
          <w:sz w:val="30"/>
          <w:szCs w:val="30"/>
        </w:rPr>
      </w:pPr>
    </w:p>
    <w:p w14:paraId="31763000">
      <w:pPr>
        <w:jc w:val="center"/>
        <w:rPr>
          <w:rFonts w:ascii="黑体" w:eastAsia="黑体"/>
          <w:sz w:val="30"/>
          <w:szCs w:val="30"/>
        </w:rPr>
      </w:pPr>
    </w:p>
    <w:p w14:paraId="3CD32E1D">
      <w:pPr>
        <w:jc w:val="center"/>
        <w:rPr>
          <w:rFonts w:ascii="黑体" w:eastAsia="黑体"/>
          <w:sz w:val="28"/>
          <w:szCs w:val="28"/>
        </w:rPr>
      </w:pPr>
    </w:p>
    <w:p w14:paraId="46013E18">
      <w:pPr>
        <w:jc w:val="center"/>
        <w:rPr>
          <w:rFonts w:ascii="黑体" w:eastAsia="黑体"/>
          <w:sz w:val="30"/>
          <w:szCs w:val="30"/>
        </w:rPr>
      </w:pPr>
    </w:p>
    <w:p w14:paraId="2BBB0D83">
      <w:pPr>
        <w:jc w:val="center"/>
        <w:rPr>
          <w:rFonts w:ascii="黑体" w:eastAsia="黑体"/>
          <w:sz w:val="30"/>
          <w:szCs w:val="30"/>
        </w:rPr>
      </w:pPr>
    </w:p>
    <w:p w14:paraId="51B1F102">
      <w:pPr>
        <w:jc w:val="center"/>
        <w:rPr>
          <w:rFonts w:ascii="黑体" w:eastAsia="黑体"/>
          <w:sz w:val="30"/>
          <w:szCs w:val="30"/>
        </w:rPr>
      </w:pPr>
    </w:p>
    <w:p w14:paraId="1CEFBDDD">
      <w:pPr>
        <w:ind w:firstLine="2124" w:firstLineChars="664"/>
        <w:rPr>
          <w:rFonts w:ascii="黑体" w:eastAsia="黑体"/>
          <w:sz w:val="32"/>
          <w:szCs w:val="32"/>
        </w:rPr>
      </w:pPr>
      <w:r>
        <w:rPr>
          <w:rFonts w:hint="eastAsia" w:ascii="黑体" w:eastAsia="黑体"/>
          <w:sz w:val="32"/>
          <w:szCs w:val="32"/>
        </w:rPr>
        <w:t>甲  方：</w:t>
      </w:r>
      <w:r>
        <w:rPr>
          <w:rFonts w:hint="eastAsia" w:ascii="黑体" w:hAnsi="宋体" w:eastAsia="黑体"/>
          <w:sz w:val="32"/>
          <w:szCs w:val="32"/>
        </w:rPr>
        <w:t>XXXXXXX</w:t>
      </w:r>
    </w:p>
    <w:p w14:paraId="58B2BE76">
      <w:pPr>
        <w:tabs>
          <w:tab w:val="left" w:pos="480"/>
        </w:tabs>
        <w:ind w:firstLine="2124" w:firstLineChars="664"/>
        <w:rPr>
          <w:rFonts w:ascii="黑体" w:hAnsi="宋体" w:eastAsia="黑体"/>
          <w:sz w:val="32"/>
          <w:szCs w:val="32"/>
        </w:rPr>
      </w:pPr>
      <w:r>
        <w:rPr>
          <w:rFonts w:hint="eastAsia" w:ascii="黑体" w:eastAsia="黑体"/>
          <w:sz w:val="32"/>
          <w:szCs w:val="32"/>
        </w:rPr>
        <w:t>乙  方：XXXXXXX</w:t>
      </w:r>
    </w:p>
    <w:p w14:paraId="07995475">
      <w:pPr>
        <w:jc w:val="center"/>
        <w:rPr>
          <w:rFonts w:ascii="黑体" w:eastAsia="黑体"/>
          <w:sz w:val="30"/>
          <w:szCs w:val="30"/>
        </w:rPr>
      </w:pPr>
    </w:p>
    <w:p w14:paraId="032B4E10">
      <w:pPr>
        <w:jc w:val="center"/>
        <w:rPr>
          <w:rFonts w:ascii="黑体" w:eastAsia="黑体"/>
          <w:sz w:val="30"/>
          <w:szCs w:val="30"/>
        </w:rPr>
      </w:pPr>
    </w:p>
    <w:p w14:paraId="6387E07E">
      <w:pPr>
        <w:jc w:val="center"/>
        <w:rPr>
          <w:rFonts w:ascii="黑体" w:eastAsia="黑体"/>
          <w:sz w:val="32"/>
          <w:szCs w:val="32"/>
        </w:rPr>
      </w:pPr>
      <w:r>
        <w:rPr>
          <w:rFonts w:hint="eastAsia" w:ascii="黑体" w:eastAsia="黑体"/>
          <w:sz w:val="32"/>
          <w:szCs w:val="32"/>
        </w:rPr>
        <w:t>中国  西安</w:t>
      </w:r>
    </w:p>
    <w:p w14:paraId="30AE268F">
      <w:pPr>
        <w:jc w:val="center"/>
        <w:rPr>
          <w:rFonts w:ascii="黑体" w:eastAsia="黑体"/>
          <w:b/>
          <w:sz w:val="36"/>
          <w:szCs w:val="36"/>
        </w:rPr>
      </w:pPr>
    </w:p>
    <w:p w14:paraId="15E5CE0E">
      <w:pPr>
        <w:jc w:val="center"/>
        <w:rPr>
          <w:rFonts w:ascii="黑体" w:eastAsia="黑体"/>
          <w:b/>
          <w:sz w:val="36"/>
          <w:szCs w:val="36"/>
        </w:rPr>
      </w:pPr>
    </w:p>
    <w:p w14:paraId="3EA58E07">
      <w:pPr>
        <w:jc w:val="center"/>
        <w:rPr>
          <w:rFonts w:ascii="黑体" w:eastAsia="黑体"/>
          <w:b/>
          <w:sz w:val="36"/>
          <w:szCs w:val="36"/>
        </w:rPr>
      </w:pPr>
    </w:p>
    <w:p w14:paraId="5D6182B2">
      <w:pPr>
        <w:jc w:val="center"/>
        <w:rPr>
          <w:rFonts w:ascii="黑体" w:eastAsia="黑体"/>
          <w:b/>
          <w:sz w:val="36"/>
          <w:szCs w:val="36"/>
        </w:rPr>
      </w:pPr>
      <w:r>
        <w:rPr>
          <w:rFonts w:hint="eastAsia" w:ascii="黑体" w:eastAsia="黑体"/>
          <w:b/>
          <w:sz w:val="36"/>
          <w:szCs w:val="36"/>
        </w:rPr>
        <w:t>供 货 合 同</w:t>
      </w:r>
    </w:p>
    <w:p w14:paraId="1ABA5967">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甲方：西安市第三医院</w:t>
      </w:r>
    </w:p>
    <w:p w14:paraId="04EA0A40">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住所地：西安市凤城三路东段10号</w:t>
      </w:r>
    </w:p>
    <w:p w14:paraId="7A90EDEA">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法定代表人：杨军乐</w:t>
      </w:r>
      <w:r>
        <w:rPr>
          <w:rFonts w:ascii="仿宋_GB2312" w:hAnsi="宋体" w:eastAsia="仿宋_GB2312" w:cs="宋体"/>
          <w:sz w:val="28"/>
          <w:szCs w:val="28"/>
        </w:rPr>
        <w:t xml:space="preserve"> </w:t>
      </w:r>
    </w:p>
    <w:p w14:paraId="198312AB">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联系方式： 029-61816199</w:t>
      </w:r>
    </w:p>
    <w:p w14:paraId="48425914">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乙方：</w:t>
      </w:r>
    </w:p>
    <w:p w14:paraId="602197A8">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住所地：</w:t>
      </w:r>
    </w:p>
    <w:p w14:paraId="69024D09">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法定代表人：</w:t>
      </w:r>
      <w:r>
        <w:rPr>
          <w:rFonts w:ascii="仿宋_GB2312" w:hAnsi="宋体" w:eastAsia="仿宋_GB2312" w:cs="宋体"/>
          <w:sz w:val="28"/>
          <w:szCs w:val="28"/>
        </w:rPr>
        <w:t xml:space="preserve"> </w:t>
      </w:r>
    </w:p>
    <w:p w14:paraId="2C208E8C">
      <w:pPr>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联系方式：</w:t>
      </w:r>
    </w:p>
    <w:p w14:paraId="46945F8A">
      <w:pPr>
        <w:spacing w:line="360" w:lineRule="auto"/>
        <w:ind w:firstLine="560" w:firstLineChars="200"/>
        <w:rPr>
          <w:rFonts w:ascii="Calibri Light" w:hAnsi="Calibri Light" w:eastAsia="仿宋"/>
          <w:sz w:val="28"/>
        </w:rPr>
      </w:pPr>
      <w:r>
        <w:rPr>
          <w:rFonts w:hint="eastAsia" w:ascii="Calibri Light" w:hAnsi="Calibri Light" w:eastAsia="仿宋"/>
          <w:sz w:val="28"/>
        </w:rPr>
        <w:t>在西安市财政局政府采购管理处的监督管理下，按照政府采购程序组织公开招标，确定乙方为XXX项目第X标段（项目编号：XCZX201X-XXXX）中标供应商。依据《中华人民共和国政府采购法》、《中华人民共和国</w:t>
      </w:r>
      <w:r>
        <w:rPr>
          <w:rFonts w:hint="eastAsia" w:ascii="Calibri Light" w:hAnsi="Calibri Light" w:eastAsia="仿宋"/>
          <w:sz w:val="28"/>
          <w:lang w:eastAsia="zh-CN"/>
        </w:rPr>
        <w:t>民法典</w:t>
      </w:r>
      <w:r>
        <w:rPr>
          <w:rFonts w:hint="eastAsia" w:ascii="Calibri Light" w:hAnsi="Calibri Light" w:eastAsia="仿宋"/>
          <w:sz w:val="28"/>
        </w:rPr>
        <w:t>》以及西安市市级单位政府采购中心招标文件、中标通知书，经甲、乙双方协商确认，达成如下合同条款。</w:t>
      </w:r>
    </w:p>
    <w:p w14:paraId="1A8DDADF">
      <w:pPr>
        <w:spacing w:line="360" w:lineRule="auto"/>
        <w:ind w:firstLine="560" w:firstLineChars="200"/>
        <w:rPr>
          <w:rFonts w:ascii="Calibri Light" w:hAnsi="Calibri Light" w:eastAsia="仿宋"/>
          <w:sz w:val="28"/>
        </w:rPr>
      </w:pPr>
    </w:p>
    <w:p w14:paraId="1B117931">
      <w:pPr>
        <w:spacing w:line="360" w:lineRule="auto"/>
        <w:ind w:firstLine="560" w:firstLineChars="200"/>
        <w:rPr>
          <w:rFonts w:ascii="仿宋_GB2312" w:hAnsi="宋体" w:eastAsia="仿宋_GB2312" w:cs="宋体"/>
          <w:sz w:val="28"/>
          <w:szCs w:val="28"/>
        </w:rPr>
      </w:pPr>
    </w:p>
    <w:p w14:paraId="5B4AD0D4">
      <w:pPr>
        <w:tabs>
          <w:tab w:val="left" w:pos="480"/>
        </w:tabs>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一、合同标的物内容及数量（以投标文件正本和澄清表〈函〉为准）</w:t>
      </w:r>
    </w:p>
    <w:tbl>
      <w:tblPr>
        <w:tblStyle w:val="5"/>
        <w:tblW w:w="7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643"/>
        <w:gridCol w:w="1843"/>
        <w:gridCol w:w="962"/>
        <w:gridCol w:w="962"/>
        <w:gridCol w:w="962"/>
      </w:tblGrid>
      <w:tr w14:paraId="2A8F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A709196">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序号</w:t>
            </w:r>
          </w:p>
        </w:tc>
        <w:tc>
          <w:tcPr>
            <w:tcW w:w="1643" w:type="dxa"/>
            <w:tcBorders>
              <w:top w:val="single" w:color="auto" w:sz="4" w:space="0"/>
              <w:left w:val="single" w:color="auto" w:sz="4" w:space="0"/>
              <w:bottom w:val="single" w:color="auto" w:sz="4" w:space="0"/>
              <w:right w:val="single" w:color="auto" w:sz="4" w:space="0"/>
            </w:tcBorders>
            <w:vAlign w:val="center"/>
          </w:tcPr>
          <w:p w14:paraId="7FE762C3">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货物名称</w:t>
            </w:r>
          </w:p>
        </w:tc>
        <w:tc>
          <w:tcPr>
            <w:tcW w:w="1843" w:type="dxa"/>
            <w:tcBorders>
              <w:top w:val="single" w:color="auto" w:sz="4" w:space="0"/>
              <w:left w:val="single" w:color="auto" w:sz="4" w:space="0"/>
              <w:bottom w:val="single" w:color="auto" w:sz="4" w:space="0"/>
              <w:right w:val="single" w:color="auto" w:sz="4" w:space="0"/>
            </w:tcBorders>
            <w:vAlign w:val="center"/>
          </w:tcPr>
          <w:p w14:paraId="767BCCD5">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规格型号</w:t>
            </w:r>
          </w:p>
        </w:tc>
        <w:tc>
          <w:tcPr>
            <w:tcW w:w="962" w:type="dxa"/>
            <w:tcBorders>
              <w:top w:val="single" w:color="auto" w:sz="4" w:space="0"/>
              <w:left w:val="single" w:color="auto" w:sz="4" w:space="0"/>
              <w:right w:val="single" w:color="auto" w:sz="4" w:space="0"/>
            </w:tcBorders>
            <w:vAlign w:val="center"/>
          </w:tcPr>
          <w:p w14:paraId="6B74395A">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单价</w:t>
            </w:r>
          </w:p>
        </w:tc>
        <w:tc>
          <w:tcPr>
            <w:tcW w:w="962" w:type="dxa"/>
            <w:tcBorders>
              <w:top w:val="single" w:color="auto" w:sz="4" w:space="0"/>
              <w:left w:val="single" w:color="auto" w:sz="4" w:space="0"/>
              <w:bottom w:val="single" w:color="auto" w:sz="4" w:space="0"/>
              <w:right w:val="single" w:color="auto" w:sz="4" w:space="0"/>
            </w:tcBorders>
          </w:tcPr>
          <w:p w14:paraId="5B346C78">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产地</w:t>
            </w:r>
          </w:p>
        </w:tc>
        <w:tc>
          <w:tcPr>
            <w:tcW w:w="962" w:type="dxa"/>
            <w:tcBorders>
              <w:top w:val="single" w:color="auto" w:sz="4" w:space="0"/>
              <w:left w:val="single" w:color="auto" w:sz="4" w:space="0"/>
              <w:bottom w:val="single" w:color="auto" w:sz="4" w:space="0"/>
              <w:right w:val="single" w:color="auto" w:sz="4" w:space="0"/>
            </w:tcBorders>
          </w:tcPr>
          <w:p w14:paraId="32B61BE1">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备注</w:t>
            </w:r>
          </w:p>
        </w:tc>
      </w:tr>
      <w:tr w14:paraId="4FB7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46BEF4C">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1</w:t>
            </w:r>
          </w:p>
        </w:tc>
        <w:tc>
          <w:tcPr>
            <w:tcW w:w="1643" w:type="dxa"/>
            <w:tcBorders>
              <w:top w:val="single" w:color="auto" w:sz="4" w:space="0"/>
              <w:left w:val="single" w:color="auto" w:sz="4" w:space="0"/>
              <w:bottom w:val="single" w:color="auto" w:sz="4" w:space="0"/>
              <w:right w:val="single" w:color="auto" w:sz="4" w:space="0"/>
            </w:tcBorders>
            <w:vAlign w:val="center"/>
          </w:tcPr>
          <w:p w14:paraId="673A0613">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22697ABC">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093902E8">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3EEFD0DC">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61275CE2">
            <w:pPr>
              <w:tabs>
                <w:tab w:val="left" w:pos="480"/>
              </w:tabs>
              <w:jc w:val="center"/>
              <w:rPr>
                <w:rFonts w:ascii="仿宋_GB2312" w:hAnsi="宋体" w:eastAsia="仿宋_GB2312"/>
                <w:color w:val="000000"/>
                <w:spacing w:val="-20"/>
                <w:kern w:val="0"/>
                <w:sz w:val="28"/>
                <w:szCs w:val="20"/>
              </w:rPr>
            </w:pPr>
          </w:p>
        </w:tc>
      </w:tr>
      <w:tr w14:paraId="06DAA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1B51B87">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2</w:t>
            </w:r>
          </w:p>
        </w:tc>
        <w:tc>
          <w:tcPr>
            <w:tcW w:w="1643" w:type="dxa"/>
            <w:tcBorders>
              <w:top w:val="single" w:color="auto" w:sz="4" w:space="0"/>
              <w:left w:val="single" w:color="auto" w:sz="4" w:space="0"/>
              <w:bottom w:val="single" w:color="auto" w:sz="4" w:space="0"/>
              <w:right w:val="single" w:color="auto" w:sz="4" w:space="0"/>
            </w:tcBorders>
            <w:vAlign w:val="center"/>
          </w:tcPr>
          <w:p w14:paraId="49D2C8F5">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0ED1FBD6">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11EDBED5">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646925FC">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7232CDDB">
            <w:pPr>
              <w:tabs>
                <w:tab w:val="left" w:pos="480"/>
              </w:tabs>
              <w:jc w:val="center"/>
              <w:rPr>
                <w:rFonts w:ascii="仿宋_GB2312" w:hAnsi="宋体" w:eastAsia="仿宋_GB2312"/>
                <w:color w:val="000000"/>
                <w:spacing w:val="-20"/>
                <w:kern w:val="0"/>
                <w:sz w:val="28"/>
                <w:szCs w:val="20"/>
              </w:rPr>
            </w:pPr>
          </w:p>
        </w:tc>
      </w:tr>
      <w:tr w14:paraId="576FA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7B97A1B">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3</w:t>
            </w:r>
          </w:p>
        </w:tc>
        <w:tc>
          <w:tcPr>
            <w:tcW w:w="1643" w:type="dxa"/>
            <w:tcBorders>
              <w:top w:val="single" w:color="auto" w:sz="4" w:space="0"/>
              <w:left w:val="single" w:color="auto" w:sz="4" w:space="0"/>
              <w:bottom w:val="single" w:color="auto" w:sz="4" w:space="0"/>
              <w:right w:val="single" w:color="auto" w:sz="4" w:space="0"/>
            </w:tcBorders>
            <w:vAlign w:val="center"/>
          </w:tcPr>
          <w:p w14:paraId="518D8AF0">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70F7B61E">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5AA6FBA4">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554C31DE">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5E21ADBE">
            <w:pPr>
              <w:tabs>
                <w:tab w:val="left" w:pos="480"/>
              </w:tabs>
              <w:jc w:val="center"/>
              <w:rPr>
                <w:rFonts w:ascii="仿宋_GB2312" w:hAnsi="宋体" w:eastAsia="仿宋_GB2312"/>
                <w:color w:val="000000"/>
                <w:spacing w:val="-20"/>
                <w:kern w:val="0"/>
                <w:sz w:val="28"/>
                <w:szCs w:val="20"/>
              </w:rPr>
            </w:pPr>
          </w:p>
        </w:tc>
      </w:tr>
      <w:tr w14:paraId="0FE2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D97C7C3">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4</w:t>
            </w:r>
          </w:p>
        </w:tc>
        <w:tc>
          <w:tcPr>
            <w:tcW w:w="1643" w:type="dxa"/>
            <w:tcBorders>
              <w:top w:val="single" w:color="auto" w:sz="4" w:space="0"/>
              <w:left w:val="single" w:color="auto" w:sz="4" w:space="0"/>
              <w:bottom w:val="single" w:color="auto" w:sz="4" w:space="0"/>
              <w:right w:val="single" w:color="auto" w:sz="4" w:space="0"/>
            </w:tcBorders>
            <w:vAlign w:val="center"/>
          </w:tcPr>
          <w:p w14:paraId="3F3007E8">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202AAE12">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39DF0A3B">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55A62D6C">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4719FBE9">
            <w:pPr>
              <w:tabs>
                <w:tab w:val="left" w:pos="480"/>
              </w:tabs>
              <w:jc w:val="center"/>
              <w:rPr>
                <w:rFonts w:ascii="仿宋_GB2312" w:hAnsi="宋体" w:eastAsia="仿宋_GB2312"/>
                <w:color w:val="000000"/>
                <w:spacing w:val="-20"/>
                <w:kern w:val="0"/>
                <w:sz w:val="28"/>
                <w:szCs w:val="20"/>
              </w:rPr>
            </w:pPr>
          </w:p>
        </w:tc>
      </w:tr>
      <w:tr w14:paraId="59E26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8E4DDBF">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5</w:t>
            </w:r>
          </w:p>
        </w:tc>
        <w:tc>
          <w:tcPr>
            <w:tcW w:w="1643" w:type="dxa"/>
            <w:tcBorders>
              <w:top w:val="single" w:color="auto" w:sz="4" w:space="0"/>
              <w:left w:val="single" w:color="auto" w:sz="4" w:space="0"/>
              <w:bottom w:val="single" w:color="auto" w:sz="4" w:space="0"/>
              <w:right w:val="single" w:color="auto" w:sz="4" w:space="0"/>
            </w:tcBorders>
            <w:vAlign w:val="center"/>
          </w:tcPr>
          <w:p w14:paraId="319F307E">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0894D687">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537CC8EC">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5C43C1BC">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61B8FADA">
            <w:pPr>
              <w:tabs>
                <w:tab w:val="left" w:pos="480"/>
              </w:tabs>
              <w:jc w:val="center"/>
              <w:rPr>
                <w:rFonts w:ascii="仿宋_GB2312" w:hAnsi="宋体" w:eastAsia="仿宋_GB2312"/>
                <w:color w:val="000000"/>
                <w:spacing w:val="-20"/>
                <w:kern w:val="0"/>
                <w:sz w:val="28"/>
                <w:szCs w:val="20"/>
              </w:rPr>
            </w:pPr>
          </w:p>
        </w:tc>
      </w:tr>
      <w:tr w14:paraId="7FE24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7A2FA509">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6</w:t>
            </w:r>
          </w:p>
        </w:tc>
        <w:tc>
          <w:tcPr>
            <w:tcW w:w="1643" w:type="dxa"/>
            <w:tcBorders>
              <w:top w:val="single" w:color="auto" w:sz="4" w:space="0"/>
              <w:left w:val="single" w:color="auto" w:sz="4" w:space="0"/>
              <w:bottom w:val="single" w:color="auto" w:sz="4" w:space="0"/>
              <w:right w:val="single" w:color="auto" w:sz="4" w:space="0"/>
            </w:tcBorders>
            <w:vAlign w:val="center"/>
          </w:tcPr>
          <w:p w14:paraId="0641ED22">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4467EC1F">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0171A549">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480B0AF6">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07A18F63">
            <w:pPr>
              <w:tabs>
                <w:tab w:val="left" w:pos="480"/>
              </w:tabs>
              <w:jc w:val="center"/>
              <w:rPr>
                <w:rFonts w:ascii="仿宋_GB2312" w:hAnsi="宋体" w:eastAsia="仿宋_GB2312"/>
                <w:color w:val="000000"/>
                <w:spacing w:val="-20"/>
                <w:kern w:val="0"/>
                <w:sz w:val="28"/>
                <w:szCs w:val="20"/>
              </w:rPr>
            </w:pPr>
          </w:p>
        </w:tc>
      </w:tr>
      <w:tr w14:paraId="48EE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77AFBF88">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7</w:t>
            </w:r>
          </w:p>
        </w:tc>
        <w:tc>
          <w:tcPr>
            <w:tcW w:w="1643" w:type="dxa"/>
            <w:tcBorders>
              <w:top w:val="single" w:color="auto" w:sz="4" w:space="0"/>
              <w:left w:val="single" w:color="auto" w:sz="4" w:space="0"/>
              <w:bottom w:val="single" w:color="auto" w:sz="4" w:space="0"/>
              <w:right w:val="single" w:color="auto" w:sz="4" w:space="0"/>
            </w:tcBorders>
            <w:vAlign w:val="center"/>
          </w:tcPr>
          <w:p w14:paraId="46C1C7A5">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11C01E5C">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40BDFC02">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1556FC4C">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03F24F03">
            <w:pPr>
              <w:tabs>
                <w:tab w:val="left" w:pos="480"/>
              </w:tabs>
              <w:jc w:val="center"/>
              <w:rPr>
                <w:rFonts w:ascii="仿宋_GB2312" w:hAnsi="宋体" w:eastAsia="仿宋_GB2312"/>
                <w:color w:val="000000"/>
                <w:spacing w:val="-20"/>
                <w:kern w:val="0"/>
                <w:sz w:val="28"/>
                <w:szCs w:val="20"/>
              </w:rPr>
            </w:pPr>
          </w:p>
        </w:tc>
      </w:tr>
      <w:tr w14:paraId="42946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F70A212">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8</w:t>
            </w:r>
          </w:p>
        </w:tc>
        <w:tc>
          <w:tcPr>
            <w:tcW w:w="1643" w:type="dxa"/>
            <w:tcBorders>
              <w:top w:val="single" w:color="auto" w:sz="4" w:space="0"/>
              <w:left w:val="single" w:color="auto" w:sz="4" w:space="0"/>
              <w:bottom w:val="single" w:color="auto" w:sz="4" w:space="0"/>
              <w:right w:val="single" w:color="auto" w:sz="4" w:space="0"/>
            </w:tcBorders>
            <w:vAlign w:val="center"/>
          </w:tcPr>
          <w:p w14:paraId="133066A1">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35027D28">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6CE87C45">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7DE88FEF">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6C9616AA">
            <w:pPr>
              <w:tabs>
                <w:tab w:val="left" w:pos="480"/>
              </w:tabs>
              <w:jc w:val="center"/>
              <w:rPr>
                <w:rFonts w:ascii="仿宋_GB2312" w:hAnsi="宋体" w:eastAsia="仿宋_GB2312"/>
                <w:color w:val="000000"/>
                <w:spacing w:val="-20"/>
                <w:kern w:val="0"/>
                <w:sz w:val="28"/>
                <w:szCs w:val="20"/>
              </w:rPr>
            </w:pPr>
          </w:p>
        </w:tc>
      </w:tr>
      <w:tr w14:paraId="5276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40141EE">
            <w:pPr>
              <w:tabs>
                <w:tab w:val="left" w:pos="480"/>
              </w:tabs>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9</w:t>
            </w:r>
          </w:p>
        </w:tc>
        <w:tc>
          <w:tcPr>
            <w:tcW w:w="1643" w:type="dxa"/>
            <w:tcBorders>
              <w:top w:val="single" w:color="auto" w:sz="4" w:space="0"/>
              <w:left w:val="single" w:color="auto" w:sz="4" w:space="0"/>
              <w:bottom w:val="single" w:color="auto" w:sz="4" w:space="0"/>
              <w:right w:val="single" w:color="auto" w:sz="4" w:space="0"/>
            </w:tcBorders>
            <w:vAlign w:val="center"/>
          </w:tcPr>
          <w:p w14:paraId="1263727F">
            <w:pPr>
              <w:tabs>
                <w:tab w:val="left" w:pos="480"/>
              </w:tabs>
              <w:jc w:val="center"/>
              <w:rPr>
                <w:rFonts w:ascii="仿宋_GB2312" w:hAnsi="宋体" w:eastAsia="仿宋_GB2312"/>
                <w:color w:val="000000"/>
                <w:spacing w:val="-20"/>
                <w:kern w:val="0"/>
                <w:sz w:val="28"/>
                <w:szCs w:val="20"/>
              </w:rPr>
            </w:pPr>
          </w:p>
        </w:tc>
        <w:tc>
          <w:tcPr>
            <w:tcW w:w="1843" w:type="dxa"/>
            <w:tcBorders>
              <w:top w:val="single" w:color="auto" w:sz="4" w:space="0"/>
              <w:left w:val="single" w:color="auto" w:sz="4" w:space="0"/>
              <w:bottom w:val="single" w:color="auto" w:sz="4" w:space="0"/>
              <w:right w:val="single" w:color="auto" w:sz="4" w:space="0"/>
            </w:tcBorders>
            <w:vAlign w:val="center"/>
          </w:tcPr>
          <w:p w14:paraId="4BD8884C">
            <w:pPr>
              <w:tabs>
                <w:tab w:val="left" w:pos="480"/>
              </w:tabs>
              <w:jc w:val="center"/>
              <w:rPr>
                <w:rFonts w:ascii="仿宋_GB2312" w:hAnsi="宋体" w:eastAsia="仿宋_GB2312"/>
                <w:color w:val="000000"/>
                <w:spacing w:val="-20"/>
                <w:kern w:val="0"/>
                <w:sz w:val="28"/>
                <w:szCs w:val="20"/>
              </w:rPr>
            </w:pPr>
          </w:p>
        </w:tc>
        <w:tc>
          <w:tcPr>
            <w:tcW w:w="962" w:type="dxa"/>
            <w:tcBorders>
              <w:left w:val="single" w:color="auto" w:sz="4" w:space="0"/>
              <w:right w:val="single" w:color="auto" w:sz="4" w:space="0"/>
            </w:tcBorders>
            <w:vAlign w:val="center"/>
          </w:tcPr>
          <w:p w14:paraId="5FE9F1D4">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4BCCD156">
            <w:pPr>
              <w:tabs>
                <w:tab w:val="left" w:pos="480"/>
              </w:tabs>
              <w:jc w:val="center"/>
              <w:rPr>
                <w:rFonts w:ascii="仿宋_GB2312" w:hAnsi="宋体" w:eastAsia="仿宋_GB2312"/>
                <w:color w:val="000000"/>
                <w:spacing w:val="-20"/>
                <w:kern w:val="0"/>
                <w:sz w:val="28"/>
                <w:szCs w:val="20"/>
              </w:rPr>
            </w:pPr>
          </w:p>
        </w:tc>
        <w:tc>
          <w:tcPr>
            <w:tcW w:w="962" w:type="dxa"/>
            <w:tcBorders>
              <w:top w:val="single" w:color="auto" w:sz="4" w:space="0"/>
              <w:left w:val="single" w:color="auto" w:sz="4" w:space="0"/>
              <w:bottom w:val="single" w:color="auto" w:sz="4" w:space="0"/>
              <w:right w:val="single" w:color="auto" w:sz="4" w:space="0"/>
            </w:tcBorders>
          </w:tcPr>
          <w:p w14:paraId="6A106D8F">
            <w:pPr>
              <w:tabs>
                <w:tab w:val="left" w:pos="480"/>
              </w:tabs>
              <w:jc w:val="center"/>
              <w:rPr>
                <w:rFonts w:ascii="仿宋_GB2312" w:hAnsi="宋体" w:eastAsia="仿宋_GB2312"/>
                <w:color w:val="000000"/>
                <w:spacing w:val="-20"/>
                <w:kern w:val="0"/>
                <w:sz w:val="28"/>
                <w:szCs w:val="20"/>
              </w:rPr>
            </w:pPr>
          </w:p>
        </w:tc>
      </w:tr>
      <w:tr w14:paraId="51B9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F82E2D3">
            <w:pPr>
              <w:tabs>
                <w:tab w:val="left" w:pos="480"/>
              </w:tabs>
              <w:jc w:val="center"/>
              <w:rPr>
                <w:rFonts w:hint="eastAsia"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lang w:val="en-US" w:eastAsia="zh-CN"/>
              </w:rPr>
              <w:t>合计</w:t>
            </w:r>
          </w:p>
        </w:tc>
        <w:tc>
          <w:tcPr>
            <w:tcW w:w="6372" w:type="dxa"/>
            <w:gridSpan w:val="5"/>
            <w:tcBorders>
              <w:top w:val="single" w:color="auto" w:sz="4" w:space="0"/>
              <w:left w:val="single" w:color="auto" w:sz="4" w:space="0"/>
              <w:bottom w:val="single" w:color="auto" w:sz="4" w:space="0"/>
              <w:right w:val="single" w:color="auto" w:sz="4" w:space="0"/>
            </w:tcBorders>
            <w:vAlign w:val="center"/>
          </w:tcPr>
          <w:p w14:paraId="28DCCD35">
            <w:pPr>
              <w:tabs>
                <w:tab w:val="left" w:pos="480"/>
              </w:tabs>
              <w:jc w:val="center"/>
              <w:rPr>
                <w:rFonts w:ascii="仿宋_GB2312" w:hAnsi="宋体" w:eastAsia="仿宋_GB2312"/>
                <w:color w:val="000000"/>
                <w:spacing w:val="-20"/>
                <w:kern w:val="0"/>
                <w:sz w:val="28"/>
                <w:szCs w:val="20"/>
              </w:rPr>
            </w:pPr>
          </w:p>
        </w:tc>
      </w:tr>
      <w:tr w14:paraId="60688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5B5B93B1">
            <w:pPr>
              <w:tabs>
                <w:tab w:val="left" w:pos="480"/>
              </w:tabs>
              <w:jc w:val="center"/>
              <w:rPr>
                <w:rFonts w:hint="eastAsia"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lang w:val="en-US" w:eastAsia="zh-CN"/>
              </w:rPr>
              <w:t>说明</w:t>
            </w:r>
          </w:p>
        </w:tc>
        <w:tc>
          <w:tcPr>
            <w:tcW w:w="6372" w:type="dxa"/>
            <w:gridSpan w:val="5"/>
            <w:tcBorders>
              <w:top w:val="single" w:color="auto" w:sz="4" w:space="0"/>
              <w:left w:val="single" w:color="auto" w:sz="4" w:space="0"/>
              <w:bottom w:val="single" w:color="auto" w:sz="4" w:space="0"/>
              <w:right w:val="single" w:color="auto" w:sz="4" w:space="0"/>
            </w:tcBorders>
            <w:vAlign w:val="center"/>
          </w:tcPr>
          <w:p w14:paraId="7F6ED9FF">
            <w:pPr>
              <w:tabs>
                <w:tab w:val="left" w:pos="480"/>
              </w:tabs>
              <w:jc w:val="center"/>
              <w:rPr>
                <w:rFonts w:ascii="仿宋_GB2312" w:hAnsi="宋体" w:eastAsia="仿宋_GB2312"/>
                <w:color w:val="000000"/>
                <w:spacing w:val="-20"/>
                <w:kern w:val="0"/>
                <w:sz w:val="28"/>
                <w:szCs w:val="20"/>
              </w:rPr>
            </w:pPr>
          </w:p>
        </w:tc>
      </w:tr>
    </w:tbl>
    <w:p w14:paraId="19C57854">
      <w:pPr>
        <w:tabs>
          <w:tab w:val="left" w:pos="480"/>
        </w:tabs>
        <w:ind w:firstLine="473" w:firstLineChars="196"/>
        <w:rPr>
          <w:rFonts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（技术参数可附附件或详见投标文件，需说明清楚）</w:t>
      </w:r>
    </w:p>
    <w:p w14:paraId="020EC6C3">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二、交货条件：</w:t>
      </w:r>
    </w:p>
    <w:p w14:paraId="05BE986F">
      <w:pPr>
        <w:tabs>
          <w:tab w:val="left" w:pos="480"/>
        </w:tabs>
        <w:ind w:firstLine="473" w:firstLineChars="196"/>
        <w:rPr>
          <w:rFonts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（以下内容仅为示例，本条款内容必须与招标文件第四章对应条款内容及投标文件响应条款保持一致）</w:t>
      </w:r>
    </w:p>
    <w:p w14:paraId="057731C1">
      <w:pPr>
        <w:numPr>
          <w:ilvl w:val="0"/>
          <w:numId w:val="1"/>
        </w:num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交货地点：甲方指定地点。</w:t>
      </w:r>
    </w:p>
    <w:p w14:paraId="1495FD02">
      <w:pPr>
        <w:numPr>
          <w:ilvl w:val="0"/>
          <w:numId w:val="1"/>
        </w:numPr>
        <w:spacing w:line="400" w:lineRule="exact"/>
        <w:ind w:firstLine="560" w:firstLineChars="200"/>
        <w:rPr>
          <w:rFonts w:ascii="Calibri Light" w:hAnsi="Calibri Light" w:eastAsia="仿宋"/>
          <w:sz w:val="28"/>
        </w:rPr>
      </w:pPr>
      <w:r>
        <w:rPr>
          <w:rFonts w:hint="eastAsia" w:ascii="Calibri Light" w:hAnsi="Calibri Light" w:eastAsia="仿宋"/>
          <w:sz w:val="28"/>
        </w:rPr>
        <w:t>服务期限：自合同签订之日起1年。</w:t>
      </w:r>
    </w:p>
    <w:p w14:paraId="18E4F3EB">
      <w:pPr>
        <w:spacing w:line="400" w:lineRule="exact"/>
        <w:ind w:firstLine="560" w:firstLineChars="200"/>
        <w:rPr>
          <w:rFonts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三</w:t>
      </w:r>
      <w:r>
        <w:rPr>
          <w:rFonts w:hint="eastAsia" w:ascii="Calibri Light" w:hAnsi="Calibri Light" w:eastAsia="仿宋"/>
          <w:sz w:val="28"/>
        </w:rPr>
        <w:t>）交货期：按需分批供货，自合同签订之日起___个日历日内完成全部项目内容，并交付甲方验收合格。</w:t>
      </w:r>
    </w:p>
    <w:p w14:paraId="2976A973">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三、合同价款</w:t>
      </w:r>
    </w:p>
    <w:p w14:paraId="5733335E">
      <w:pPr>
        <w:tabs>
          <w:tab w:val="left" w:pos="480"/>
        </w:tabs>
        <w:ind w:firstLine="473" w:firstLineChars="196"/>
        <w:rPr>
          <w:rFonts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（以下内容仅为示例，本条款除第一条外的内容必须与招标文件第四章对应条款内容保持一致）</w:t>
      </w:r>
    </w:p>
    <w:p w14:paraId="35984A69">
      <w:pPr>
        <w:spacing w:line="400" w:lineRule="exact"/>
        <w:ind w:firstLine="560" w:firstLineChars="200"/>
        <w:rPr>
          <w:rFonts w:ascii="Calibri Light" w:hAnsi="Calibri Light" w:eastAsia="仿宋"/>
          <w:sz w:val="28"/>
        </w:rPr>
      </w:pPr>
      <w:r>
        <w:rPr>
          <w:rFonts w:hint="eastAsia" w:ascii="Calibri Light" w:hAnsi="Calibri Light" w:eastAsia="仿宋"/>
          <w:sz w:val="28"/>
        </w:rPr>
        <w:t>（一）合同总价款为人民币（大写）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21E8B91D">
      <w:pPr>
        <w:spacing w:line="400" w:lineRule="exact"/>
        <w:ind w:firstLine="560" w:firstLineChars="200"/>
        <w:rPr>
          <w:rFonts w:ascii="Calibri Light" w:hAnsi="Calibri Light" w:eastAsia="仿宋"/>
          <w:sz w:val="28"/>
        </w:rPr>
      </w:pPr>
      <w:r>
        <w:rPr>
          <w:rFonts w:hint="eastAsia" w:ascii="Calibri Light" w:hAnsi="Calibri Light" w:eastAsia="仿宋"/>
          <w:sz w:val="28"/>
        </w:rPr>
        <w:t>（二）合同</w:t>
      </w:r>
      <w:r>
        <w:rPr>
          <w:rFonts w:hint="eastAsia" w:ascii="Calibri Light" w:hAnsi="Calibri Light" w:eastAsia="仿宋"/>
          <w:sz w:val="28"/>
          <w:lang w:val="en-US" w:eastAsia="zh-CN"/>
        </w:rPr>
        <w:t>单</w:t>
      </w:r>
      <w:r>
        <w:rPr>
          <w:rFonts w:hint="eastAsia" w:ascii="Calibri Light" w:hAnsi="Calibri Light" w:eastAsia="仿宋"/>
          <w:sz w:val="28"/>
        </w:rPr>
        <w:t>价包括：×××费、×××费、×××费和其他费用。</w:t>
      </w:r>
    </w:p>
    <w:p w14:paraId="722F46AA">
      <w:pPr>
        <w:spacing w:line="400" w:lineRule="exact"/>
        <w:ind w:firstLine="560" w:firstLineChars="200"/>
        <w:rPr>
          <w:rFonts w:ascii="Calibri Light" w:hAnsi="Calibri Light" w:eastAsia="仿宋"/>
          <w:sz w:val="28"/>
        </w:rPr>
      </w:pPr>
      <w:r>
        <w:rPr>
          <w:rFonts w:hint="eastAsia" w:ascii="Calibri Light" w:hAnsi="Calibri Light" w:eastAsia="仿宋"/>
          <w:sz w:val="28"/>
        </w:rPr>
        <w:t>（三）合同</w:t>
      </w:r>
      <w:r>
        <w:rPr>
          <w:rFonts w:hint="eastAsia" w:ascii="Calibri Light" w:hAnsi="Calibri Light" w:eastAsia="仿宋"/>
          <w:sz w:val="28"/>
          <w:lang w:val="en-US" w:eastAsia="zh-CN"/>
        </w:rPr>
        <w:t>单</w:t>
      </w:r>
      <w:r>
        <w:rPr>
          <w:rFonts w:hint="eastAsia" w:ascii="Calibri Light" w:hAnsi="Calibri Light" w:eastAsia="仿宋"/>
          <w:sz w:val="28"/>
        </w:rPr>
        <w:t>价一次性包死，不受市场价格变化因素的影响。</w:t>
      </w:r>
    </w:p>
    <w:p w14:paraId="5588E927">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四、款项结算</w:t>
      </w:r>
    </w:p>
    <w:p w14:paraId="54E168C5">
      <w:pPr>
        <w:tabs>
          <w:tab w:val="left" w:pos="480"/>
        </w:tabs>
        <w:ind w:firstLine="482" w:firstLineChars="200"/>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（以下内容仅为示例，本条款的内容必须与招标文件第四章对应条款内容保持一致）</w:t>
      </w:r>
    </w:p>
    <w:p w14:paraId="1ED09456">
      <w:pPr>
        <w:pStyle w:val="2"/>
        <w:ind w:left="420" w:leftChars="0" w:firstLine="420" w:firstLineChars="0"/>
      </w:pPr>
    </w:p>
    <w:p w14:paraId="07888D5D">
      <w:pPr>
        <w:spacing w:line="400" w:lineRule="exact"/>
        <w:ind w:firstLine="560" w:firstLineChars="200"/>
      </w:pPr>
      <w:r>
        <w:rPr>
          <w:rFonts w:hint="eastAsia" w:ascii="Calibri Light" w:hAnsi="Calibri Light" w:eastAsia="仿宋"/>
          <w:sz w:val="28"/>
        </w:rPr>
        <w:t>（</w:t>
      </w:r>
      <w:r>
        <w:rPr>
          <w:rFonts w:hint="eastAsia" w:ascii="Calibri Light" w:hAnsi="Calibri Light" w:eastAsia="仿宋"/>
          <w:sz w:val="28"/>
          <w:lang w:val="en-US" w:eastAsia="zh-CN"/>
        </w:rPr>
        <w:t>一</w:t>
      </w:r>
      <w:r>
        <w:rPr>
          <w:rFonts w:hint="eastAsia" w:ascii="Calibri Light" w:hAnsi="Calibri Light" w:eastAsia="仿宋"/>
          <w:sz w:val="28"/>
        </w:rPr>
        <w:t>）支付方式：银行转账。</w:t>
      </w:r>
    </w:p>
    <w:p w14:paraId="18F9B9B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二</w:t>
      </w:r>
      <w:r>
        <w:rPr>
          <w:rFonts w:hint="eastAsia" w:ascii="Calibri Light" w:hAnsi="Calibri Light" w:eastAsia="仿宋"/>
          <w:sz w:val="28"/>
        </w:rPr>
        <w:t>）结算方式：乙方每月据实开具发票，持中标通知书、供货合同、发票，与甲方结算。</w:t>
      </w:r>
    </w:p>
    <w:p w14:paraId="57B69EBF">
      <w:pPr>
        <w:spacing w:line="400" w:lineRule="exact"/>
        <w:ind w:firstLine="560" w:firstLineChars="200"/>
        <w:rPr>
          <w:rFonts w:hint="eastAsia" w:ascii="Calibri Light" w:hAnsi="Calibri Light" w:eastAsia="仿宋"/>
          <w:sz w:val="28"/>
          <w:lang w:val="en-US" w:eastAsia="zh-CN"/>
        </w:rPr>
      </w:pPr>
      <w:r>
        <w:rPr>
          <w:rFonts w:hint="eastAsia" w:ascii="Calibri Light" w:hAnsi="Calibri Light" w:eastAsia="仿宋"/>
          <w:sz w:val="28"/>
          <w:lang w:val="en-US" w:eastAsia="zh-CN"/>
        </w:rPr>
        <w:t>（三）合同有效期，自接到甲方书面通知之日起壹年或最终结算（人民币XXXXXX元）达到合同最高执行总价为止</w:t>
      </w:r>
    </w:p>
    <w:p w14:paraId="5706233A">
      <w:pPr>
        <w:spacing w:line="400" w:lineRule="exact"/>
        <w:ind w:firstLine="560" w:firstLineChars="200"/>
        <w:rPr>
          <w:rFonts w:hint="eastAsia" w:ascii="Calibri Light" w:hAnsi="Calibri Light" w:eastAsia="仿宋"/>
          <w:sz w:val="28"/>
        </w:rPr>
      </w:pPr>
    </w:p>
    <w:p w14:paraId="1C3EA3CC">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61A00CE1">
      <w:pPr>
        <w:spacing w:line="400" w:lineRule="exact"/>
        <w:ind w:firstLine="560" w:firstLineChars="200"/>
        <w:rPr>
          <w:rFonts w:ascii="Calibri Light" w:hAnsi="Calibri Light" w:eastAsia="仿宋"/>
          <w:sz w:val="28"/>
        </w:rPr>
      </w:pPr>
      <w:r>
        <w:rPr>
          <w:rFonts w:hint="eastAsia" w:ascii="Calibri Light" w:hAnsi="Calibri Light" w:eastAsia="仿宋"/>
          <w:sz w:val="28"/>
        </w:rPr>
        <w:t>（一）甲方的权利和义务</w:t>
      </w:r>
    </w:p>
    <w:p w14:paraId="44F74B93">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（由双方协商，必须填写）</w:t>
      </w:r>
    </w:p>
    <w:p w14:paraId="7B3E2236">
      <w:pPr>
        <w:spacing w:line="400" w:lineRule="exact"/>
        <w:ind w:firstLine="560" w:firstLineChars="200"/>
        <w:rPr>
          <w:rFonts w:ascii="Calibri Light" w:hAnsi="Calibri Light" w:eastAsia="仿宋"/>
          <w:sz w:val="28"/>
        </w:rPr>
      </w:pPr>
      <w:r>
        <w:rPr>
          <w:rFonts w:hint="eastAsia" w:ascii="Calibri Light" w:hAnsi="Calibri Light" w:eastAsia="仿宋"/>
          <w:sz w:val="28"/>
        </w:rPr>
        <w:t>（二）乙方的权利和义务</w:t>
      </w:r>
    </w:p>
    <w:p w14:paraId="5DBC1617">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（由双方协商，必须填写）</w:t>
      </w:r>
    </w:p>
    <w:p w14:paraId="23EC4443">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六、质量保证</w:t>
      </w:r>
    </w:p>
    <w:p w14:paraId="5570252A">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招标文件第四章合同条款以及投标文件响应条款中的对应内容拟定，若投标文件响应条款优于招标文件的按投标文件内容拟定，双方可协商增加内容，但必须优于招标文件要求和投标文件响应内容）</w:t>
      </w:r>
    </w:p>
    <w:p w14:paraId="56D8EA6F">
      <w:pPr>
        <w:spacing w:line="400" w:lineRule="exact"/>
        <w:ind w:firstLine="560" w:firstLineChars="200"/>
        <w:rPr>
          <w:rFonts w:ascii="Calibri Light" w:hAnsi="Calibri Light" w:eastAsia="仿宋"/>
          <w:sz w:val="28"/>
        </w:rPr>
      </w:pPr>
      <w:r>
        <w:rPr>
          <w:rFonts w:hint="eastAsia" w:ascii="Calibri Light" w:hAnsi="Calibri Light" w:eastAsia="仿宋"/>
          <w:sz w:val="28"/>
        </w:rPr>
        <w:t>乙方所供产品/设备必须执行下列条款：</w:t>
      </w:r>
    </w:p>
    <w:p w14:paraId="68363B46">
      <w:pPr>
        <w:spacing w:line="400" w:lineRule="exact"/>
        <w:ind w:firstLine="560" w:firstLineChars="200"/>
        <w:rPr>
          <w:rFonts w:ascii="Calibri Light" w:hAnsi="Calibri Light" w:eastAsia="仿宋"/>
          <w:sz w:val="28"/>
        </w:rPr>
      </w:pPr>
      <w:r>
        <w:rPr>
          <w:rFonts w:hint="eastAsia" w:ascii="Calibri Light" w:hAnsi="Calibri Light" w:eastAsia="仿宋"/>
          <w:sz w:val="28"/>
        </w:rPr>
        <w:t>（一）保证所供产品/设备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包括但不限于：</w:t>
      </w:r>
    </w:p>
    <w:p w14:paraId="3303F916">
      <w:pPr>
        <w:spacing w:line="400" w:lineRule="exact"/>
        <w:ind w:firstLine="560" w:firstLineChars="200"/>
        <w:rPr>
          <w:rFonts w:ascii="Calibri Light" w:hAnsi="Calibri Light" w:eastAsia="仿宋"/>
          <w:sz w:val="28"/>
        </w:rPr>
      </w:pPr>
      <w:r>
        <w:rPr>
          <w:rFonts w:hint="eastAsia" w:ascii="Calibri Light" w:hAnsi="Calibri Light" w:eastAsia="仿宋"/>
          <w:sz w:val="28"/>
        </w:rPr>
        <w:t>1、×××规范（GB）</w:t>
      </w:r>
    </w:p>
    <w:p w14:paraId="75617FF0">
      <w:pPr>
        <w:spacing w:line="400" w:lineRule="exact"/>
        <w:ind w:firstLine="560" w:firstLineChars="200"/>
        <w:rPr>
          <w:rFonts w:ascii="Calibri Light" w:hAnsi="Calibri Light" w:eastAsia="仿宋"/>
          <w:sz w:val="28"/>
        </w:rPr>
      </w:pPr>
      <w:r>
        <w:rPr>
          <w:rFonts w:hint="eastAsia" w:ascii="Calibri Light" w:hAnsi="Calibri Light" w:eastAsia="仿宋"/>
          <w:sz w:val="28"/>
        </w:rPr>
        <w:t>2、×××规范（GB/T）</w:t>
      </w:r>
    </w:p>
    <w:p w14:paraId="3B30E14B">
      <w:pPr>
        <w:spacing w:line="400" w:lineRule="exact"/>
        <w:ind w:firstLine="560" w:firstLineChars="200"/>
        <w:rPr>
          <w:rFonts w:ascii="Calibri Light" w:hAnsi="Calibri Light" w:eastAsia="仿宋"/>
          <w:sz w:val="28"/>
        </w:rPr>
      </w:pPr>
      <w:r>
        <w:rPr>
          <w:rFonts w:hint="eastAsia" w:ascii="Calibri Light" w:hAnsi="Calibri Light" w:eastAsia="仿宋"/>
          <w:sz w:val="28"/>
        </w:rPr>
        <w:t>（二）保证所供产品/设备技术指标先进、质量性能可靠、配置合理、进货渠道正规，全面满足招标文件要求，无假货、水货或翻新货，并能按期交付。</w:t>
      </w:r>
    </w:p>
    <w:p w14:paraId="496CABE8">
      <w:pPr>
        <w:spacing w:line="400" w:lineRule="exact"/>
        <w:ind w:firstLine="560" w:firstLineChars="200"/>
        <w:rPr>
          <w:rFonts w:ascii="Calibri Light" w:hAnsi="Calibri Light" w:eastAsia="仿宋"/>
          <w:sz w:val="28"/>
        </w:rPr>
      </w:pPr>
      <w:r>
        <w:rPr>
          <w:rFonts w:hint="eastAsia" w:ascii="Calibri Light" w:hAnsi="Calibri Light" w:eastAsia="仿宋"/>
          <w:sz w:val="28"/>
        </w:rPr>
        <w:t>（三）保证所供产品/设备在装卸、运输和仓储过程中有足够的包装保护，防止产品/设备受潮、锈蚀、遭受冲撞及其他不可预见的损坏。</w:t>
      </w:r>
    </w:p>
    <w:p w14:paraId="0C7B801D">
      <w:pPr>
        <w:spacing w:line="400" w:lineRule="exact"/>
        <w:ind w:firstLine="560" w:firstLineChars="200"/>
        <w:rPr>
          <w:rFonts w:ascii="Calibri Light" w:hAnsi="Calibri Light" w:eastAsia="仿宋"/>
          <w:sz w:val="28"/>
        </w:rPr>
      </w:pPr>
      <w:r>
        <w:rPr>
          <w:rFonts w:hint="eastAsia" w:ascii="Calibri Light" w:hAnsi="Calibri Light" w:eastAsia="仿宋"/>
          <w:sz w:val="28"/>
        </w:rPr>
        <w:t>（四）保证所供产品/设备具有良好的外观，适合各种安装场所的使用要求，确保达到最佳运行状态。</w:t>
      </w:r>
    </w:p>
    <w:p w14:paraId="365D9FBF">
      <w:pPr>
        <w:spacing w:line="400" w:lineRule="exact"/>
        <w:ind w:firstLine="560" w:firstLineChars="200"/>
        <w:rPr>
          <w:rFonts w:ascii="Calibri Light" w:hAnsi="Calibri Light" w:eastAsia="仿宋"/>
          <w:sz w:val="28"/>
        </w:rPr>
      </w:pPr>
      <w:r>
        <w:rPr>
          <w:rFonts w:hint="eastAsia" w:ascii="Calibri Light" w:hAnsi="Calibri Light" w:eastAsia="仿宋"/>
          <w:sz w:val="28"/>
        </w:rPr>
        <w:t>（五）乙方所供产品/设备因侵权而产生的一切后果由乙方负责，甲方保留索赔权力。</w:t>
      </w:r>
    </w:p>
    <w:p w14:paraId="575AD488">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（六）双方拟定的其他条款。</w:t>
      </w:r>
    </w:p>
    <w:p w14:paraId="0F19AAA7">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七、包装和储运</w:t>
      </w:r>
    </w:p>
    <w:p w14:paraId="1B227566">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招标文件第四章合同条款以及投标文件响应条款中的对应内容拟定，若投标文件响应条款优于招标文件的按投标文件内容拟定，双方可协商增加内容，但必须优于招标文件要求和投标文件响应内容）</w:t>
      </w:r>
    </w:p>
    <w:p w14:paraId="72EA20FE">
      <w:pPr>
        <w:spacing w:line="400" w:lineRule="exact"/>
        <w:ind w:firstLine="560" w:firstLineChars="200"/>
        <w:rPr>
          <w:rFonts w:ascii="Calibri Light" w:hAnsi="Calibri Light" w:eastAsia="仿宋"/>
          <w:sz w:val="28"/>
        </w:rPr>
      </w:pPr>
      <w:r>
        <w:rPr>
          <w:rFonts w:hint="eastAsia" w:ascii="Calibri Light" w:hAnsi="Calibri Light" w:eastAsia="仿宋"/>
          <w:sz w:val="28"/>
        </w:rPr>
        <w:t>（一）产品/设备及其备附件的包装应为出厂时的原包装，包装内应附有详细的装箱清单、出厂合格证明及其他相关资料。</w:t>
      </w:r>
    </w:p>
    <w:p w14:paraId="45921615">
      <w:pPr>
        <w:spacing w:line="400" w:lineRule="exact"/>
        <w:ind w:firstLine="560" w:firstLineChars="200"/>
        <w:rPr>
          <w:rFonts w:ascii="Calibri Light" w:hAnsi="Calibri Light" w:eastAsia="仿宋"/>
          <w:sz w:val="28"/>
        </w:rPr>
      </w:pPr>
      <w:r>
        <w:rPr>
          <w:rFonts w:hint="eastAsia" w:ascii="Calibri Light" w:hAnsi="Calibri Light" w:eastAsia="仿宋"/>
          <w:sz w:val="28"/>
        </w:rPr>
        <w:t>（二）运输由乙方负责，运杂费已包含在合同总价内，包括从产品/设备供应地点运送至交付地点所含的运输费、装卸费、仓储费、保险费等。</w:t>
      </w:r>
    </w:p>
    <w:p w14:paraId="5BA48A70">
      <w:pPr>
        <w:spacing w:line="400" w:lineRule="exact"/>
        <w:ind w:firstLine="560" w:firstLineChars="200"/>
        <w:rPr>
          <w:rFonts w:ascii="Calibri Light" w:hAnsi="Calibri Light" w:eastAsia="仿宋"/>
          <w:sz w:val="28"/>
        </w:rPr>
      </w:pPr>
      <w:r>
        <w:rPr>
          <w:rFonts w:hint="eastAsia" w:ascii="Calibri Light" w:hAnsi="Calibri Light" w:eastAsia="仿宋"/>
          <w:sz w:val="28"/>
        </w:rPr>
        <w:t>（三）运输方式由乙方自行选择，但必须保证按期交付。</w:t>
      </w:r>
    </w:p>
    <w:p w14:paraId="7D508C96">
      <w:pPr>
        <w:spacing w:line="400" w:lineRule="exact"/>
        <w:ind w:firstLine="560" w:firstLineChars="200"/>
        <w:rPr>
          <w:rFonts w:ascii="Calibri Light" w:hAnsi="Calibri Light" w:eastAsia="仿宋"/>
          <w:sz w:val="28"/>
        </w:rPr>
      </w:pPr>
      <w:r>
        <w:rPr>
          <w:rFonts w:hint="eastAsia" w:ascii="Calibri Light" w:hAnsi="Calibri Light" w:eastAsia="仿宋"/>
          <w:sz w:val="28"/>
        </w:rPr>
        <w:t>（四）产品/设备及其备附件到达甲方指定地点后，乙方应按有关技术规程和甲方要求进行存放和保管。</w:t>
      </w:r>
    </w:p>
    <w:p w14:paraId="217ED5B3">
      <w:pPr>
        <w:spacing w:line="400" w:lineRule="exact"/>
        <w:ind w:firstLine="562" w:firstLineChars="200"/>
        <w:rPr>
          <w:rFonts w:ascii="Calibri Light" w:hAnsi="Calibri Light" w:eastAsia="仿宋"/>
          <w:sz w:val="28"/>
        </w:rPr>
      </w:pPr>
      <w:r>
        <w:rPr>
          <w:rFonts w:hint="eastAsia" w:ascii="Calibri Light" w:hAnsi="Calibri Light" w:eastAsia="仿宋"/>
          <w:b/>
          <w:color w:val="FF0000"/>
          <w:sz w:val="28"/>
        </w:rPr>
        <w:t>（五）双方拟定的其他条款。</w:t>
      </w:r>
    </w:p>
    <w:p w14:paraId="5A4380C9">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八、验收</w:t>
      </w:r>
    </w:p>
    <w:p w14:paraId="42A209E1">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招标文件第四章合同条款以及投标文件响应条款中的对应内容拟定，若投标文件响应条款优于招标文件的按投标文件内容拟定，双方可协商增加内容，但必须优于招标文件要求和投标文件响应内容）</w:t>
      </w:r>
    </w:p>
    <w:p w14:paraId="70BD53A0">
      <w:pPr>
        <w:spacing w:line="400" w:lineRule="exact"/>
        <w:ind w:firstLine="560" w:firstLineChars="200"/>
        <w:rPr>
          <w:rFonts w:ascii="Calibri Light" w:hAnsi="Calibri Light" w:eastAsia="仿宋"/>
          <w:sz w:val="28"/>
        </w:rPr>
      </w:pPr>
      <w:r>
        <w:rPr>
          <w:rFonts w:hint="eastAsia" w:ascii="Calibri Light" w:hAnsi="Calibri Light" w:eastAsia="仿宋"/>
          <w:sz w:val="28"/>
        </w:rPr>
        <w:t>（一）现场验收：产品/设备及其备附件到达甲方指定地点后，甲方根据合同要求，在乙方和甲方相关负责人双方同时在场的情况下，进行外观验收，确认产地、规格、型号和数量。</w:t>
      </w:r>
    </w:p>
    <w:p w14:paraId="40B092D5">
      <w:pPr>
        <w:spacing w:line="400" w:lineRule="exact"/>
        <w:ind w:firstLine="560" w:firstLineChars="200"/>
        <w:rPr>
          <w:rFonts w:ascii="Calibri Light" w:hAnsi="Calibri Light" w:eastAsia="仿宋"/>
          <w:sz w:val="28"/>
        </w:rPr>
      </w:pPr>
      <w:r>
        <w:rPr>
          <w:rFonts w:hint="eastAsia" w:ascii="Calibri Light" w:hAnsi="Calibri Light" w:eastAsia="仿宋"/>
          <w:sz w:val="28"/>
        </w:rPr>
        <w:t>（二）安装调试：乙方应配合甲方的工期要求，负责在现场对产品/设备进行安装、调试和试运行，直至验收合格。乙方应提供全部安装、调试过程中所需的材料、设施设备、人工等。试运行应当在甲方的监督下进行。</w:t>
      </w:r>
    </w:p>
    <w:p w14:paraId="1BD60328">
      <w:pPr>
        <w:spacing w:line="400" w:lineRule="exact"/>
        <w:ind w:firstLine="560" w:firstLineChars="200"/>
        <w:rPr>
          <w:rFonts w:ascii="Calibri Light" w:hAnsi="Calibri Light" w:eastAsia="仿宋"/>
          <w:sz w:val="28"/>
        </w:rPr>
      </w:pPr>
      <w:r>
        <w:rPr>
          <w:rFonts w:hint="eastAsia" w:ascii="Calibri Light" w:hAnsi="Calibri Light" w:eastAsia="仿宋"/>
          <w:sz w:val="28"/>
        </w:rPr>
        <w:t>（三）最终验收：产品/设备安装调试和运行后，由乙方向甲方递交产品/设备安装调试记录和竣工通知书，经甲方确认后，组织乙方进行系统验收（必要时甲方可委托具有相关资质的第三方检测机构/技术专家对产品/设备进行系统验收，需要国家法定检验部门进行检验或验收的由乙方负责联系）。验收合格后，填写政府采购项目履约验收单（一式伍份）作为对产品/设备的最终认可。政府采购项目履约验收单送采购代理机构一份，并据此退还履约保证金。</w:t>
      </w:r>
    </w:p>
    <w:p w14:paraId="1C50D492">
      <w:pPr>
        <w:spacing w:line="400" w:lineRule="exact"/>
        <w:ind w:firstLine="560" w:firstLineChars="200"/>
        <w:rPr>
          <w:rFonts w:ascii="Calibri Light" w:hAnsi="Calibri Light" w:eastAsia="仿宋"/>
          <w:sz w:val="28"/>
        </w:rPr>
      </w:pPr>
      <w:r>
        <w:rPr>
          <w:rFonts w:hint="eastAsia" w:ascii="Calibri Light" w:hAnsi="Calibri Light" w:eastAsia="仿宋"/>
          <w:sz w:val="28"/>
        </w:rPr>
        <w:t>（四）验收依据</w:t>
      </w:r>
    </w:p>
    <w:p w14:paraId="1C861669">
      <w:pPr>
        <w:spacing w:line="400" w:lineRule="exact"/>
        <w:ind w:firstLine="560" w:firstLineChars="200"/>
        <w:rPr>
          <w:rFonts w:ascii="Calibri Light" w:hAnsi="Calibri Light" w:eastAsia="仿宋"/>
          <w:sz w:val="28"/>
        </w:rPr>
      </w:pPr>
      <w:r>
        <w:rPr>
          <w:rFonts w:hint="eastAsia" w:ascii="Calibri Light" w:hAnsi="Calibri Light" w:eastAsia="仿宋"/>
          <w:sz w:val="28"/>
        </w:rPr>
        <w:t>1、招标文件、投标文件、澄清表（函）；</w:t>
      </w:r>
    </w:p>
    <w:p w14:paraId="11C25AF9">
      <w:pPr>
        <w:spacing w:line="400" w:lineRule="exact"/>
        <w:ind w:firstLine="560" w:firstLineChars="200"/>
        <w:rPr>
          <w:rFonts w:ascii="Calibri Light" w:hAnsi="Calibri Light" w:eastAsia="仿宋"/>
          <w:sz w:val="28"/>
        </w:rPr>
      </w:pPr>
      <w:r>
        <w:rPr>
          <w:rFonts w:hint="eastAsia" w:ascii="Calibri Light" w:hAnsi="Calibri Light" w:eastAsia="仿宋"/>
          <w:sz w:val="28"/>
        </w:rPr>
        <w:t>2、本合同及附件文本；</w:t>
      </w:r>
    </w:p>
    <w:p w14:paraId="7E56F624">
      <w:pPr>
        <w:spacing w:line="400" w:lineRule="exact"/>
        <w:ind w:firstLine="560" w:firstLineChars="200"/>
        <w:rPr>
          <w:rFonts w:ascii="Calibri Light" w:hAnsi="Calibri Light" w:eastAsia="仿宋"/>
          <w:sz w:val="28"/>
        </w:rPr>
      </w:pPr>
      <w:r>
        <w:rPr>
          <w:rFonts w:hint="eastAsia" w:ascii="Calibri Light" w:hAnsi="Calibri Light" w:eastAsia="仿宋"/>
          <w:sz w:val="28"/>
        </w:rPr>
        <w:t>3、合同签订时国家及行业现行的标准和技术规范。</w:t>
      </w:r>
    </w:p>
    <w:p w14:paraId="68F6304C">
      <w:pPr>
        <w:spacing w:line="400" w:lineRule="exact"/>
        <w:ind w:firstLine="560" w:firstLineChars="200"/>
        <w:rPr>
          <w:rFonts w:ascii="Calibri Light" w:hAnsi="Calibri Light" w:eastAsia="仿宋"/>
          <w:sz w:val="28"/>
        </w:rPr>
      </w:pPr>
      <w:r>
        <w:rPr>
          <w:rFonts w:hint="eastAsia" w:ascii="Calibri Light" w:hAnsi="Calibri Light" w:eastAsia="仿宋"/>
          <w:sz w:val="28"/>
        </w:rPr>
        <w:t>（五）乙方应向甲方提交项目实施过程中的所有资料，以便甲方日后管理和维护。</w:t>
      </w:r>
    </w:p>
    <w:p w14:paraId="37C5B161">
      <w:pPr>
        <w:spacing w:line="400" w:lineRule="exact"/>
        <w:ind w:firstLine="562" w:firstLineChars="200"/>
        <w:rPr>
          <w:rFonts w:ascii="Calibri Light" w:hAnsi="Calibri Light" w:eastAsia="仿宋"/>
          <w:sz w:val="28"/>
        </w:rPr>
      </w:pPr>
      <w:r>
        <w:rPr>
          <w:rFonts w:hint="eastAsia" w:ascii="Calibri Light" w:hAnsi="Calibri Light" w:eastAsia="仿宋"/>
          <w:b/>
          <w:color w:val="FF0000"/>
          <w:sz w:val="28"/>
        </w:rPr>
        <w:t>（六）双方拟定的其他条款。</w:t>
      </w:r>
    </w:p>
    <w:p w14:paraId="3E893EF5">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九、售后服务</w:t>
      </w:r>
    </w:p>
    <w:p w14:paraId="1CFCE15D">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招标文件第四章合同条款以及投标文件响应条款中的对应内容拟定，若投标文件响应条款优于招标文件的按投标文件内容拟定，双方可协商增加内容，但必须优于招标文件要求和投标文件响应内容）</w:t>
      </w:r>
    </w:p>
    <w:p w14:paraId="45481BED">
      <w:pPr>
        <w:spacing w:line="400" w:lineRule="exact"/>
        <w:ind w:firstLine="560" w:firstLineChars="200"/>
        <w:rPr>
          <w:rFonts w:ascii="Calibri Light" w:hAnsi="Calibri Light" w:eastAsia="仿宋"/>
          <w:sz w:val="28"/>
        </w:rPr>
      </w:pPr>
      <w:r>
        <w:rPr>
          <w:rFonts w:hint="eastAsia" w:ascii="Calibri Light" w:hAnsi="Calibri Light" w:eastAsia="仿宋"/>
          <w:sz w:val="28"/>
        </w:rPr>
        <w:t>乙方提供以下售后服务：</w:t>
      </w:r>
    </w:p>
    <w:p w14:paraId="3A94B4A7">
      <w:pPr>
        <w:spacing w:line="400" w:lineRule="exact"/>
        <w:ind w:firstLine="560" w:firstLineChars="200"/>
        <w:rPr>
          <w:rFonts w:ascii="Calibri Light" w:hAnsi="Calibri Light" w:eastAsia="仿宋"/>
          <w:sz w:val="28"/>
        </w:rPr>
      </w:pPr>
      <w:r>
        <w:rPr>
          <w:rFonts w:hint="eastAsia" w:ascii="Calibri Light" w:hAnsi="Calibri Light" w:eastAsia="仿宋"/>
          <w:sz w:val="28"/>
        </w:rPr>
        <w:t>质量保证期：自甲方签发最终验收合格证书之日起</w:t>
      </w:r>
      <w:r>
        <w:rPr>
          <w:rFonts w:hint="eastAsia" w:ascii="Calibri Light" w:hAnsi="Calibri Light" w:eastAsia="仿宋"/>
          <w:sz w:val="28"/>
          <w:u w:val="single"/>
        </w:rPr>
        <w:t xml:space="preserve">  </w:t>
      </w:r>
      <w:r>
        <w:rPr>
          <w:rFonts w:hint="eastAsia" w:ascii="Calibri Light" w:hAnsi="Calibri Light" w:eastAsia="仿宋"/>
          <w:sz w:val="28"/>
        </w:rPr>
        <w:t>年，若该质量保证期小于国家标准，则以国家标准为准。产品/设备终身维修。</w:t>
      </w:r>
    </w:p>
    <w:p w14:paraId="1F2E019F">
      <w:pPr>
        <w:spacing w:line="400" w:lineRule="exact"/>
        <w:ind w:firstLine="560" w:firstLineChars="200"/>
        <w:rPr>
          <w:rFonts w:ascii="Calibri Light" w:hAnsi="Calibri Light" w:eastAsia="仿宋"/>
          <w:sz w:val="28"/>
        </w:rPr>
      </w:pPr>
      <w:r>
        <w:rPr>
          <w:rFonts w:hint="eastAsia" w:ascii="Calibri Light" w:hAnsi="Calibri Light" w:eastAsia="仿宋"/>
          <w:sz w:val="28"/>
        </w:rPr>
        <w:t>（一）质保期内</w:t>
      </w:r>
    </w:p>
    <w:p w14:paraId="45CFD8E6">
      <w:pPr>
        <w:spacing w:line="400" w:lineRule="exact"/>
        <w:ind w:firstLine="560" w:firstLineChars="200"/>
        <w:rPr>
          <w:rFonts w:ascii="Calibri Light" w:hAnsi="Calibri Light" w:eastAsia="仿宋"/>
          <w:sz w:val="28"/>
        </w:rPr>
      </w:pPr>
      <w:r>
        <w:rPr>
          <w:rFonts w:hint="eastAsia" w:ascii="Calibri Light" w:hAnsi="Calibri Light" w:eastAsia="仿宋"/>
          <w:sz w:val="28"/>
        </w:rPr>
        <w:t>1、凡正常使用中出现的故障，均由乙方负责提供免费检测维修、更换不合格的零部件直至整机（更换的零部件或整机应保证自更换之日起提供相同的质量保证期），若需返厂处理，乙方应承担相关费用。同时记录检修情况，并向甲方提供检修报告。</w:t>
      </w:r>
    </w:p>
    <w:p w14:paraId="5E8C8709">
      <w:pPr>
        <w:spacing w:line="400" w:lineRule="exact"/>
        <w:ind w:firstLine="560" w:firstLineChars="200"/>
        <w:rPr>
          <w:rFonts w:ascii="Calibri Light" w:hAnsi="Calibri Light" w:eastAsia="仿宋"/>
          <w:sz w:val="28"/>
        </w:rPr>
      </w:pPr>
      <w:r>
        <w:rPr>
          <w:rFonts w:hint="eastAsia" w:ascii="Calibri Light" w:hAnsi="Calibri Light" w:eastAsia="仿宋"/>
          <w:sz w:val="28"/>
        </w:rPr>
        <w:t>2、凡设备发生质量问题或出现其他故障，接到甲方通知后，服务响应时间不超过</w:t>
      </w:r>
      <w:r>
        <w:rPr>
          <w:rFonts w:hint="eastAsia" w:ascii="Calibri Light" w:hAnsi="Calibri Light" w:eastAsia="仿宋"/>
          <w:sz w:val="28"/>
          <w:u w:val="single"/>
        </w:rPr>
        <w:t xml:space="preserve">  </w:t>
      </w:r>
      <w:r>
        <w:rPr>
          <w:rFonts w:hint="eastAsia" w:ascii="Calibri Light" w:hAnsi="Calibri Light" w:eastAsia="仿宋"/>
          <w:sz w:val="28"/>
        </w:rPr>
        <w:t>小时，</w:t>
      </w:r>
      <w:r>
        <w:rPr>
          <w:rFonts w:hint="eastAsia" w:ascii="Calibri Light" w:hAnsi="Calibri Light" w:eastAsia="仿宋"/>
          <w:sz w:val="28"/>
          <w:u w:val="single"/>
        </w:rPr>
        <w:t xml:space="preserve">  </w:t>
      </w:r>
      <w:r>
        <w:rPr>
          <w:rFonts w:hint="eastAsia" w:ascii="Calibri Light" w:hAnsi="Calibri Light" w:eastAsia="仿宋"/>
          <w:sz w:val="28"/>
        </w:rPr>
        <w:t>小时内派专业维修人员到达现场，</w:t>
      </w:r>
      <w:r>
        <w:rPr>
          <w:rFonts w:hint="eastAsia" w:ascii="Calibri Light" w:hAnsi="Calibri Light" w:eastAsia="仿宋"/>
          <w:sz w:val="28"/>
          <w:u w:val="single"/>
        </w:rPr>
        <w:t xml:space="preserve">  </w:t>
      </w:r>
      <w:r>
        <w:rPr>
          <w:rFonts w:hint="eastAsia" w:ascii="Calibri Light" w:hAnsi="Calibri Light" w:eastAsia="仿宋"/>
          <w:sz w:val="28"/>
        </w:rPr>
        <w:t>小时内排除故障。排除故障的期限最长不得超过两个工作日，否则甲方有权指定第三方维修，维修费用由乙方承担。</w:t>
      </w:r>
    </w:p>
    <w:p w14:paraId="231BCB62">
      <w:pPr>
        <w:spacing w:line="400" w:lineRule="exact"/>
        <w:ind w:firstLine="560" w:firstLineChars="200"/>
        <w:rPr>
          <w:rFonts w:ascii="Calibri Light" w:hAnsi="Calibri Light" w:eastAsia="仿宋"/>
          <w:sz w:val="28"/>
        </w:rPr>
      </w:pPr>
      <w:r>
        <w:rPr>
          <w:rFonts w:hint="eastAsia" w:ascii="Calibri Light" w:hAnsi="Calibri Light" w:eastAsia="仿宋"/>
          <w:sz w:val="28"/>
        </w:rPr>
        <w:t>3、免费提供每周</w:t>
      </w:r>
      <w:r>
        <w:rPr>
          <w:rFonts w:hint="eastAsia" w:ascii="Calibri Light" w:hAnsi="Calibri Light" w:eastAsia="仿宋"/>
          <w:sz w:val="28"/>
          <w:u w:val="single"/>
        </w:rPr>
        <w:t>7×24</w:t>
      </w:r>
      <w:r>
        <w:rPr>
          <w:rFonts w:hint="eastAsia" w:ascii="Calibri Light" w:hAnsi="Calibri Light" w:eastAsia="仿宋"/>
          <w:sz w:val="28"/>
        </w:rPr>
        <w:t>小时不间断的电话支持服务，解答用户在使用过程中遇到的问题，及时提出解决问题的建议和对策。</w:t>
      </w:r>
    </w:p>
    <w:p w14:paraId="64F137C3">
      <w:pPr>
        <w:spacing w:line="400" w:lineRule="exact"/>
        <w:ind w:firstLine="560" w:firstLineChars="200"/>
        <w:rPr>
          <w:rFonts w:ascii="Calibri Light" w:hAnsi="Calibri Light" w:eastAsia="仿宋"/>
          <w:sz w:val="28"/>
        </w:rPr>
      </w:pPr>
      <w:r>
        <w:rPr>
          <w:rFonts w:hint="eastAsia" w:ascii="Calibri Light" w:hAnsi="Calibri Light" w:eastAsia="仿宋"/>
          <w:sz w:val="28"/>
        </w:rPr>
        <w:t>4、定期派专业维修人员到现场走访，给予检查维护。并向甲方提供巡检单（一式两份，由双方签字确认），内容包含但不限于巡检时间、巡检内容、巡检结果。</w:t>
      </w:r>
    </w:p>
    <w:p w14:paraId="3F2FD572">
      <w:pPr>
        <w:spacing w:line="400" w:lineRule="exact"/>
        <w:ind w:firstLine="560" w:firstLineChars="200"/>
        <w:rPr>
          <w:rFonts w:ascii="Calibri Light" w:hAnsi="Calibri Light" w:eastAsia="仿宋"/>
          <w:sz w:val="28"/>
        </w:rPr>
      </w:pPr>
      <w:r>
        <w:rPr>
          <w:rFonts w:hint="eastAsia" w:ascii="Calibri Light" w:hAnsi="Calibri Light" w:eastAsia="仿宋"/>
          <w:sz w:val="28"/>
        </w:rPr>
        <w:t>5、款项结清前，对所供产品/设备进行一次全面检测、保养和维护。</w:t>
      </w:r>
    </w:p>
    <w:p w14:paraId="1D3432B9">
      <w:pPr>
        <w:spacing w:line="400" w:lineRule="exact"/>
        <w:ind w:firstLine="560" w:firstLineChars="200"/>
        <w:rPr>
          <w:rFonts w:ascii="Calibri Light" w:hAnsi="Calibri Light" w:eastAsia="仿宋"/>
          <w:sz w:val="28"/>
        </w:rPr>
      </w:pPr>
      <w:r>
        <w:rPr>
          <w:rFonts w:hint="eastAsia" w:ascii="Calibri Light" w:hAnsi="Calibri Light" w:eastAsia="仿宋"/>
          <w:sz w:val="28"/>
        </w:rPr>
        <w:t>（二）质保期满后</w:t>
      </w:r>
    </w:p>
    <w:p w14:paraId="2FB6EC09">
      <w:pPr>
        <w:spacing w:line="400" w:lineRule="exact"/>
        <w:ind w:firstLine="560" w:firstLineChars="200"/>
        <w:rPr>
          <w:rFonts w:ascii="Calibri Light" w:hAnsi="Calibri Light" w:eastAsia="仿宋"/>
          <w:sz w:val="28"/>
        </w:rPr>
      </w:pPr>
      <w:r>
        <w:rPr>
          <w:rFonts w:hint="eastAsia" w:ascii="Calibri Light" w:hAnsi="Calibri Light" w:eastAsia="仿宋"/>
          <w:sz w:val="28"/>
        </w:rPr>
        <w:t>乙方应保证以合理的价格提供维护和保养服务，当发生故障时，乙方应按质保期内相同的服务标准进行维护处理。</w:t>
      </w:r>
    </w:p>
    <w:p w14:paraId="72F67EC4">
      <w:pPr>
        <w:spacing w:line="400" w:lineRule="exact"/>
        <w:ind w:firstLine="560" w:firstLineChars="200"/>
        <w:rPr>
          <w:rFonts w:ascii="Calibri Light" w:hAnsi="Calibri Light" w:eastAsia="仿宋"/>
          <w:sz w:val="28"/>
        </w:rPr>
      </w:pPr>
      <w:r>
        <w:rPr>
          <w:rFonts w:hint="eastAsia" w:ascii="Calibri Light" w:hAnsi="Calibri Light" w:eastAsia="仿宋"/>
          <w:sz w:val="28"/>
        </w:rPr>
        <w:t>（三）人员培训</w:t>
      </w:r>
    </w:p>
    <w:p w14:paraId="33946AE1">
      <w:pPr>
        <w:spacing w:line="400" w:lineRule="exact"/>
        <w:ind w:firstLine="560" w:firstLineChars="200"/>
        <w:rPr>
          <w:rFonts w:ascii="Calibri Light" w:hAnsi="Calibri Light" w:eastAsia="仿宋"/>
          <w:sz w:val="28"/>
        </w:rPr>
      </w:pPr>
      <w:r>
        <w:rPr>
          <w:rFonts w:hint="eastAsia" w:ascii="Calibri Light" w:hAnsi="Calibri Light" w:eastAsia="仿宋"/>
          <w:sz w:val="28"/>
        </w:rPr>
        <w:t>提供产品/设备的现场/驻厂培训，使甲方操作、维护人员</w:t>
      </w:r>
      <w:r>
        <w:rPr>
          <w:rFonts w:hint="eastAsia" w:ascii="Calibri Light" w:hAnsi="Calibri Light" w:eastAsia="仿宋"/>
          <w:b/>
          <w:color w:val="FF0000"/>
          <w:sz w:val="28"/>
        </w:rPr>
        <w:t>（约×人）</w:t>
      </w:r>
      <w:r>
        <w:rPr>
          <w:rFonts w:hint="eastAsia" w:ascii="Calibri Light" w:hAnsi="Calibri Light" w:eastAsia="仿宋"/>
          <w:sz w:val="28"/>
        </w:rPr>
        <w:t>掌握操作使用、维护保养及其他必备知识。甲方要求派遣专业技术人员参与项目实施的，在项目整体实施及质保期内，随时向甲方技术人员讲解技术和实施方案。培训费用已包含在合同总价内。</w:t>
      </w:r>
    </w:p>
    <w:p w14:paraId="04329FEB">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（四）双方拟定的其他条款。</w:t>
      </w:r>
    </w:p>
    <w:p w14:paraId="6074E088">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十、技术与服务</w:t>
      </w:r>
    </w:p>
    <w:p w14:paraId="40D9955C">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FF0000"/>
          <w:spacing w:val="-20"/>
          <w:kern w:val="0"/>
          <w:sz w:val="28"/>
          <w:szCs w:val="20"/>
        </w:rPr>
        <w:t>（以下内容仅供参考，具体内容按照招标文件第四章合同条款以及投标文件响应条款中的对应内容拟定，若投标文件响应条款优于招标文件的按投标文件内容拟定，双方可协商增加内容，但必须优于招标文件要求和投标文件响应内容）</w:t>
      </w:r>
    </w:p>
    <w:p w14:paraId="7DE526F6">
      <w:pPr>
        <w:spacing w:line="400" w:lineRule="exact"/>
        <w:ind w:firstLine="560" w:firstLineChars="200"/>
        <w:rPr>
          <w:rFonts w:ascii="Calibri Light" w:hAnsi="Calibri Light" w:eastAsia="仿宋"/>
          <w:sz w:val="28"/>
        </w:rPr>
      </w:pPr>
      <w:r>
        <w:rPr>
          <w:rFonts w:hint="eastAsia" w:ascii="Calibri Light" w:hAnsi="Calibri Light" w:eastAsia="仿宋"/>
          <w:sz w:val="28"/>
        </w:rPr>
        <w:t>（一）技术资料</w:t>
      </w:r>
    </w:p>
    <w:p w14:paraId="22AB7371">
      <w:pPr>
        <w:spacing w:line="400" w:lineRule="exact"/>
        <w:ind w:firstLine="560" w:firstLineChars="200"/>
        <w:rPr>
          <w:rFonts w:ascii="Calibri Light" w:hAnsi="Calibri Light" w:eastAsia="仿宋"/>
          <w:sz w:val="28"/>
        </w:rPr>
      </w:pPr>
      <w:r>
        <w:rPr>
          <w:rFonts w:hint="eastAsia" w:ascii="Calibri Light" w:hAnsi="Calibri Light" w:eastAsia="仿宋"/>
          <w:sz w:val="28"/>
        </w:rPr>
        <w:t>1、产品/设备合格证；</w:t>
      </w:r>
    </w:p>
    <w:p w14:paraId="10598AF6">
      <w:pPr>
        <w:spacing w:line="400" w:lineRule="exact"/>
        <w:ind w:firstLine="560" w:firstLineChars="200"/>
        <w:rPr>
          <w:rFonts w:ascii="Calibri Light" w:hAnsi="Calibri Light" w:eastAsia="仿宋"/>
          <w:sz w:val="28"/>
        </w:rPr>
      </w:pPr>
      <w:r>
        <w:rPr>
          <w:rFonts w:hint="eastAsia" w:ascii="Calibri Light" w:hAnsi="Calibri Light" w:eastAsia="仿宋"/>
          <w:sz w:val="28"/>
        </w:rPr>
        <w:t>2、产品/设备技术参数；</w:t>
      </w:r>
    </w:p>
    <w:p w14:paraId="22DE6075">
      <w:pPr>
        <w:spacing w:line="400" w:lineRule="exact"/>
        <w:ind w:firstLine="560" w:firstLineChars="200"/>
        <w:rPr>
          <w:rFonts w:ascii="Calibri Light" w:hAnsi="Calibri Light" w:eastAsia="仿宋"/>
          <w:sz w:val="28"/>
        </w:rPr>
      </w:pPr>
      <w:r>
        <w:rPr>
          <w:rFonts w:hint="eastAsia" w:ascii="Calibri Light" w:hAnsi="Calibri Light" w:eastAsia="仿宋"/>
          <w:sz w:val="28"/>
        </w:rPr>
        <w:t>3、产品/设备使用维护说明书（中文）；</w:t>
      </w:r>
    </w:p>
    <w:p w14:paraId="5CD10E2D">
      <w:pPr>
        <w:spacing w:line="400" w:lineRule="exact"/>
        <w:ind w:firstLine="560" w:firstLineChars="200"/>
        <w:rPr>
          <w:rFonts w:ascii="Calibri Light" w:hAnsi="Calibri Light" w:eastAsia="仿宋"/>
          <w:sz w:val="28"/>
        </w:rPr>
      </w:pPr>
      <w:r>
        <w:rPr>
          <w:rFonts w:hint="eastAsia" w:ascii="Calibri Light" w:hAnsi="Calibri Light" w:eastAsia="仿宋"/>
          <w:sz w:val="28"/>
        </w:rPr>
        <w:t>4、其它资料。</w:t>
      </w:r>
    </w:p>
    <w:p w14:paraId="6EC14EB7">
      <w:pPr>
        <w:spacing w:line="400" w:lineRule="exact"/>
        <w:ind w:firstLine="560" w:firstLineChars="200"/>
        <w:rPr>
          <w:rFonts w:ascii="Calibri Light" w:hAnsi="Calibri Light" w:eastAsia="仿宋"/>
          <w:sz w:val="28"/>
        </w:rPr>
      </w:pPr>
      <w:r>
        <w:rPr>
          <w:rFonts w:hint="eastAsia" w:ascii="Calibri Light" w:hAnsi="Calibri Light" w:eastAsia="仿宋"/>
          <w:sz w:val="28"/>
        </w:rPr>
        <w:t>（二）服务承诺</w:t>
      </w:r>
    </w:p>
    <w:p w14:paraId="66652E8D">
      <w:pPr>
        <w:spacing w:line="400" w:lineRule="exact"/>
        <w:ind w:firstLine="560" w:firstLineChars="200"/>
        <w:rPr>
          <w:rFonts w:ascii="Calibri Light" w:hAnsi="Calibri Light" w:eastAsia="仿宋"/>
          <w:sz w:val="28"/>
        </w:rPr>
      </w:pPr>
      <w:r>
        <w:rPr>
          <w:rFonts w:hint="eastAsia" w:ascii="Calibri Light" w:hAnsi="Calibri Light" w:eastAsia="仿宋"/>
          <w:sz w:val="28"/>
        </w:rPr>
        <w:t>以投标文件、澄清表（函）、合同和随产品/设备的相关文件为准。</w:t>
      </w:r>
    </w:p>
    <w:p w14:paraId="577DF71E">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（三）双方拟定的其他条款。</w:t>
      </w:r>
    </w:p>
    <w:p w14:paraId="37A7FACF">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十一、违约责任</w:t>
      </w:r>
    </w:p>
    <w:p w14:paraId="7545F29A">
      <w:pPr>
        <w:numPr>
          <w:ilvl w:val="0"/>
          <w:numId w:val="0"/>
        </w:numPr>
        <w:tabs>
          <w:tab w:val="left" w:pos="480"/>
        </w:tabs>
        <w:spacing w:line="360" w:lineRule="auto"/>
        <w:ind w:firstLine="480" w:firstLineChars="200"/>
        <w:jc w:val="left"/>
        <w:rPr>
          <w:rFonts w:hint="default" w:ascii="宋体" w:hAnsi="宋体" w:eastAsia="宋体" w:cs="宋体"/>
          <w:sz w:val="24"/>
          <w:szCs w:val="24"/>
        </w:rPr>
      </w:pPr>
      <w:r>
        <w:rPr>
          <w:rFonts w:hint="default" w:ascii="宋体" w:hAnsi="宋体" w:eastAsia="宋体" w:cs="宋体"/>
          <w:sz w:val="24"/>
          <w:szCs w:val="24"/>
        </w:rPr>
        <w:t>（一）按《</w:t>
      </w:r>
      <w:r>
        <w:rPr>
          <w:rFonts w:hint="eastAsia" w:ascii="宋体" w:hAnsi="宋体" w:eastAsia="宋体" w:cs="宋体"/>
          <w:sz w:val="24"/>
          <w:szCs w:val="24"/>
          <w:lang w:eastAsia="zh-CN"/>
        </w:rPr>
        <w:t>民法典</w:t>
      </w:r>
      <w:r>
        <w:rPr>
          <w:rFonts w:hint="default" w:ascii="宋体" w:hAnsi="宋体" w:eastAsia="宋体" w:cs="宋体"/>
          <w:sz w:val="24"/>
          <w:szCs w:val="24"/>
        </w:rPr>
        <w:t>》中的相关条款执行。</w:t>
      </w:r>
      <w:r>
        <w:rPr>
          <w:rFonts w:hint="default" w:ascii="宋体" w:hAnsi="宋体" w:eastAsia="宋体" w:cs="宋体"/>
          <w:sz w:val="24"/>
          <w:szCs w:val="24"/>
        </w:rPr>
        <w:br w:type="textWrapping"/>
      </w:r>
      <w:r>
        <w:rPr>
          <w:rFonts w:hint="eastAsia" w:ascii="宋体" w:hAnsi="宋体" w:eastAsia="宋体" w:cs="宋体"/>
          <w:sz w:val="24"/>
          <w:szCs w:val="24"/>
          <w:lang w:val="en-US" w:eastAsia="zh-CN"/>
        </w:rPr>
        <w:tab/>
      </w:r>
      <w:r>
        <w:rPr>
          <w:rFonts w:hint="default" w:ascii="宋体" w:hAnsi="宋体" w:eastAsia="宋体" w:cs="宋体"/>
          <w:sz w:val="24"/>
          <w:szCs w:val="24"/>
        </w:rPr>
        <w:t>（二）未按合同要求提供产品或产品质量不能满足合同要求，甲方应当将乙方违约的情况以及拟采取的措施以书面形式报政府采购监管部门，根据政府采购监管部门的处理意见，甲方有权依据《</w:t>
      </w:r>
      <w:r>
        <w:rPr>
          <w:rFonts w:hint="eastAsia" w:ascii="宋体" w:hAnsi="宋体" w:eastAsia="宋体" w:cs="宋体"/>
          <w:sz w:val="24"/>
          <w:szCs w:val="24"/>
          <w:lang w:eastAsia="zh-CN"/>
        </w:rPr>
        <w:t>民法典</w:t>
      </w:r>
      <w:r>
        <w:rPr>
          <w:rFonts w:hint="default" w:ascii="宋体" w:hAnsi="宋体" w:eastAsia="宋体" w:cs="宋体"/>
          <w:sz w:val="24"/>
          <w:szCs w:val="24"/>
        </w:rPr>
        <w:t>》有关条款及合同约定终止合同，并要求乙方承担违约责任。同时，政府采购监管部门有权依据《政府采购法》及相关法律法规对乙方的违法行为进行相应的处罚</w:t>
      </w:r>
      <w:r>
        <w:rPr>
          <w:rFonts w:hint="eastAsia" w:ascii="宋体" w:hAnsi="宋体" w:eastAsia="宋体" w:cs="宋体"/>
          <w:sz w:val="24"/>
          <w:szCs w:val="24"/>
          <w:lang w:eastAsia="zh-CN"/>
        </w:rPr>
        <w:t>，</w:t>
      </w:r>
      <w:r>
        <w:rPr>
          <w:rFonts w:hint="default" w:ascii="宋体" w:hAnsi="宋体" w:eastAsia="宋体" w:cs="宋体"/>
          <w:sz w:val="24"/>
          <w:szCs w:val="24"/>
        </w:rPr>
        <w:t>同时乙方应承担合同总价款30%的违约金。</w:t>
      </w:r>
      <w:r>
        <w:rPr>
          <w:rFonts w:hint="default" w:ascii="宋体" w:hAnsi="宋体" w:eastAsia="宋体" w:cs="宋体"/>
          <w:sz w:val="24"/>
          <w:szCs w:val="24"/>
        </w:rPr>
        <w:br w:type="textWrapping"/>
      </w:r>
      <w:r>
        <w:rPr>
          <w:rFonts w:hint="eastAsia" w:ascii="宋体" w:hAnsi="宋体" w:eastAsia="宋体" w:cs="宋体"/>
          <w:sz w:val="24"/>
          <w:szCs w:val="24"/>
          <w:lang w:val="en-US" w:eastAsia="zh-CN"/>
        </w:rPr>
        <w:tab/>
      </w:r>
      <w:r>
        <w:rPr>
          <w:rFonts w:hint="default" w:ascii="宋体" w:hAnsi="宋体" w:eastAsia="宋体" w:cs="宋体"/>
          <w:sz w:val="24"/>
          <w:szCs w:val="24"/>
        </w:rPr>
        <w:t>（三）交货期每超过一天，扣除乙方合同总价款的1%</w:t>
      </w:r>
      <w:r>
        <w:rPr>
          <w:rFonts w:hint="eastAsia" w:ascii="宋体" w:hAnsi="宋体" w:eastAsia="宋体" w:cs="宋体"/>
          <w:sz w:val="24"/>
          <w:szCs w:val="24"/>
          <w:lang w:eastAsia="zh-CN"/>
        </w:rPr>
        <w:t>，</w:t>
      </w:r>
      <w:r>
        <w:rPr>
          <w:rFonts w:hint="default" w:ascii="宋体" w:hAnsi="宋体" w:eastAsia="宋体" w:cs="宋体"/>
          <w:sz w:val="24"/>
          <w:szCs w:val="24"/>
        </w:rPr>
        <w:t>逾期超过15日，甲方有权解除合同，甲方书面解除通知到达乙方时生效，乙方应承担合同总价款30%的违约金。</w:t>
      </w:r>
    </w:p>
    <w:p w14:paraId="4EF9E973">
      <w:pPr>
        <w:spacing w:line="400" w:lineRule="exact"/>
        <w:ind w:firstLine="560" w:firstLineChars="200"/>
        <w:rPr>
          <w:rFonts w:ascii="Calibri Light" w:hAnsi="Calibri Light" w:eastAsia="仿宋"/>
          <w:sz w:val="28"/>
        </w:rPr>
      </w:pPr>
    </w:p>
    <w:p w14:paraId="75562C18">
      <w:pPr>
        <w:spacing w:line="400" w:lineRule="exact"/>
        <w:ind w:firstLine="562" w:firstLineChars="200"/>
        <w:rPr>
          <w:rFonts w:ascii="Calibri Light" w:hAnsi="Calibri Light" w:eastAsia="仿宋"/>
          <w:sz w:val="28"/>
        </w:rPr>
      </w:pPr>
      <w:r>
        <w:rPr>
          <w:rFonts w:hint="eastAsia" w:ascii="Calibri Light" w:hAnsi="Calibri Light" w:eastAsia="仿宋"/>
          <w:b/>
          <w:color w:val="FF0000"/>
          <w:sz w:val="28"/>
        </w:rPr>
        <w:t>（四）双方拟定的其他条款。</w:t>
      </w:r>
    </w:p>
    <w:p w14:paraId="1C1E4DF7">
      <w:pPr>
        <w:tabs>
          <w:tab w:val="left" w:pos="480"/>
        </w:tabs>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十二、争议解决</w:t>
      </w:r>
    </w:p>
    <w:p w14:paraId="04F68B5A">
      <w:pPr>
        <w:spacing w:line="400" w:lineRule="exact"/>
        <w:ind w:firstLine="560" w:firstLineChars="200"/>
        <w:rPr>
          <w:rFonts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w:t>
      </w:r>
      <w:r>
        <w:rPr>
          <w:rStyle w:val="9"/>
          <w:rFonts w:hint="default" w:ascii="宋体" w:hAnsi="宋体" w:cs="宋体"/>
          <w:sz w:val="24"/>
          <w:szCs w:val="24"/>
          <w:lang w:eastAsia="zh-CN"/>
        </w:rPr>
        <w:t>第</w:t>
      </w:r>
      <w:r>
        <w:rPr>
          <w:rStyle w:val="9"/>
          <w:rFonts w:hint="eastAsia" w:ascii="宋体" w:hAnsi="宋体" w:cs="宋体"/>
          <w:sz w:val="24"/>
          <w:szCs w:val="24"/>
          <w:lang w:eastAsia="zh-CN"/>
        </w:rPr>
        <w:t>二</w:t>
      </w:r>
      <w:r>
        <w:rPr>
          <w:rStyle w:val="9"/>
          <w:rFonts w:hint="default" w:ascii="宋体" w:hAnsi="宋体" w:cs="宋体"/>
          <w:sz w:val="24"/>
          <w:szCs w:val="24"/>
          <w:lang w:eastAsia="zh-CN"/>
        </w:rPr>
        <w:t>种方式解决</w:t>
      </w:r>
      <w:r>
        <w:rPr>
          <w:rFonts w:hint="eastAsia" w:ascii="Calibri Light" w:hAnsi="Calibri Light" w:eastAsia="仿宋"/>
          <w:sz w:val="28"/>
        </w:rPr>
        <w:t>：</w:t>
      </w:r>
    </w:p>
    <w:p w14:paraId="2DBFBE3E">
      <w:pPr>
        <w:spacing w:line="400" w:lineRule="exact"/>
        <w:ind w:firstLine="560" w:firstLineChars="200"/>
        <w:rPr>
          <w:rFonts w:ascii="Calibri Light" w:hAnsi="Calibri Light" w:eastAsia="仿宋"/>
          <w:sz w:val="28"/>
        </w:rPr>
      </w:pPr>
      <w:r>
        <w:rPr>
          <w:rFonts w:hint="eastAsia" w:ascii="Calibri Light" w:hAnsi="Calibri Light" w:eastAsia="仿宋"/>
          <w:sz w:val="28"/>
        </w:rPr>
        <w:t>1、提交西安仲裁委员会仲裁；</w:t>
      </w:r>
    </w:p>
    <w:p w14:paraId="6F52E06E">
      <w:pPr>
        <w:spacing w:line="400" w:lineRule="exact"/>
        <w:ind w:firstLine="560" w:firstLineChars="200"/>
        <w:rPr>
          <w:rFonts w:ascii="Calibri Light" w:hAnsi="Calibri Light" w:eastAsia="仿宋"/>
          <w:sz w:val="28"/>
        </w:rPr>
      </w:pPr>
      <w:r>
        <w:rPr>
          <w:rFonts w:hint="eastAsia" w:ascii="Calibri Light" w:hAnsi="Calibri Light" w:eastAsia="仿宋"/>
          <w:sz w:val="28"/>
        </w:rPr>
        <w:t>2、依法向甲方所在地人民法院起诉。</w:t>
      </w:r>
    </w:p>
    <w:p w14:paraId="0B03AE80">
      <w:pPr>
        <w:spacing w:line="400" w:lineRule="exact"/>
        <w:ind w:firstLine="560" w:firstLineChars="200"/>
        <w:rPr>
          <w:rFonts w:ascii="Calibri Light" w:hAnsi="Calibri Light" w:eastAsia="仿宋"/>
          <w:sz w:val="28"/>
        </w:rPr>
      </w:pPr>
      <w:r>
        <w:rPr>
          <w:rFonts w:hint="eastAsia" w:ascii="Calibri Light" w:hAnsi="Calibri Light" w:eastAsia="仿宋"/>
          <w:sz w:val="28"/>
        </w:rPr>
        <w:t>（二）本条款为独立条款，本合同的无效、变更、解除和终止均不影响本条款的效力。</w:t>
      </w:r>
    </w:p>
    <w:p w14:paraId="4F44D394">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十三、合同变更</w:t>
      </w:r>
    </w:p>
    <w:p w14:paraId="7EBE1D03">
      <w:pPr>
        <w:spacing w:line="400" w:lineRule="exact"/>
        <w:ind w:firstLine="560" w:firstLineChars="200"/>
        <w:rPr>
          <w:rFonts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在合同的执行期内，双方均不得随意变更或解除合同。如因项目需求情况发生变化，需要项目变更的，应双方协商后签订项目变更协议，（如双方变更事项不能达成一致的，仍按原合同履行，否则视为违约）。</w:t>
      </w:r>
    </w:p>
    <w:p w14:paraId="4632F549">
      <w:pPr>
        <w:tabs>
          <w:tab w:val="left" w:pos="480"/>
        </w:tabs>
        <w:ind w:firstLine="473" w:firstLineChars="196"/>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十四、合同生效</w:t>
      </w:r>
    </w:p>
    <w:p w14:paraId="2AD08728">
      <w:pPr>
        <w:tabs>
          <w:tab w:val="left" w:pos="480"/>
        </w:tabs>
        <w:ind w:firstLine="470" w:firstLineChars="196"/>
        <w:rPr>
          <w:rFonts w:hint="eastAsia" w:ascii="宋体" w:hAnsi="宋体" w:eastAsia="宋体" w:cs="宋体"/>
          <w:sz w:val="24"/>
          <w:szCs w:val="24"/>
        </w:rPr>
      </w:pPr>
      <w:r>
        <w:rPr>
          <w:rFonts w:hint="eastAsia" w:ascii="宋体" w:hAnsi="宋体" w:eastAsia="宋体" w:cs="宋体"/>
          <w:sz w:val="24"/>
          <w:szCs w:val="24"/>
        </w:rPr>
        <w:t>本合同一式肆份，甲方持叁份，乙方持壹份，本合同甲、乙</w:t>
      </w:r>
      <w:r>
        <w:rPr>
          <w:rFonts w:hint="eastAsia" w:ascii="宋体" w:hAnsi="宋体" w:cs="宋体"/>
          <w:sz w:val="24"/>
          <w:szCs w:val="24"/>
          <w:lang w:eastAsia="zh-CN"/>
        </w:rPr>
        <w:t>双</w:t>
      </w:r>
      <w:r>
        <w:rPr>
          <w:rFonts w:hint="eastAsia" w:ascii="宋体" w:hAnsi="宋体" w:eastAsia="宋体" w:cs="宋体"/>
          <w:sz w:val="24"/>
          <w:szCs w:val="24"/>
        </w:rPr>
        <w:t>方签字盖章后生效，合同执行完毕后，自动失效（合同的服务承诺则长期有效）。</w:t>
      </w:r>
    </w:p>
    <w:p w14:paraId="4AEA49E9">
      <w:pPr>
        <w:tabs>
          <w:tab w:val="left" w:pos="480"/>
        </w:tabs>
        <w:ind w:firstLine="473" w:firstLineChars="196"/>
        <w:rPr>
          <w:rFonts w:ascii="Calibri Light" w:hAnsi="Calibri Light" w:eastAsia="仿宋"/>
          <w:sz w:val="28"/>
        </w:rPr>
      </w:pPr>
      <w:r>
        <w:rPr>
          <w:rFonts w:hint="eastAsia" w:ascii="仿宋_GB2312" w:hAnsi="宋体" w:eastAsia="仿宋_GB2312"/>
          <w:b/>
          <w:color w:val="000000"/>
          <w:spacing w:val="-20"/>
          <w:kern w:val="0"/>
          <w:sz w:val="28"/>
          <w:szCs w:val="20"/>
        </w:rPr>
        <w:t>十五、其他事项</w:t>
      </w:r>
    </w:p>
    <w:p w14:paraId="5C66173A">
      <w:pPr>
        <w:spacing w:line="400" w:lineRule="exact"/>
        <w:ind w:firstLine="560" w:firstLineChars="200"/>
        <w:rPr>
          <w:rFonts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一</w:t>
      </w:r>
      <w:r>
        <w:rPr>
          <w:rFonts w:hint="eastAsia" w:ascii="Calibri Light" w:hAnsi="Calibri Light" w:eastAsia="仿宋"/>
          <w:sz w:val="28"/>
        </w:rPr>
        <w:t>）西安市财政局政府采购管理处在合同的履行期间以及履行期后，可以随时检查项目的执行情况，对采购标准、采购内容进行调查核实，并对发现的问题进行处理。</w:t>
      </w:r>
    </w:p>
    <w:p w14:paraId="2CD1691F">
      <w:pPr>
        <w:spacing w:line="400" w:lineRule="exact"/>
        <w:ind w:firstLine="560" w:firstLineChars="200"/>
        <w:rPr>
          <w:rFonts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二</w:t>
      </w:r>
      <w:r>
        <w:rPr>
          <w:rFonts w:hint="eastAsia" w:ascii="Calibri Light" w:hAnsi="Calibri Light" w:eastAsia="仿宋"/>
          <w:sz w:val="28"/>
        </w:rPr>
        <w:t>）招标文件、投标文件、澄清表（函）、中标通知书、合同附件均成为合同不可分割的部分。</w:t>
      </w:r>
    </w:p>
    <w:p w14:paraId="5F2295F1">
      <w:pPr>
        <w:spacing w:line="400" w:lineRule="exact"/>
        <w:ind w:firstLine="560" w:firstLineChars="200"/>
        <w:rPr>
          <w:rFonts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三</w:t>
      </w:r>
      <w:r>
        <w:rPr>
          <w:rFonts w:hint="eastAsia" w:ascii="Calibri Light" w:hAnsi="Calibri Light" w:eastAsia="仿宋"/>
          <w:sz w:val="28"/>
        </w:rPr>
        <w:t>）合同未尽事宜，由甲、乙双方协商确认后签订政府采购补充合同，与原合同具有同等法律效力。</w:t>
      </w:r>
    </w:p>
    <w:p w14:paraId="6815F5DE">
      <w:pPr>
        <w:spacing w:line="400" w:lineRule="exact"/>
        <w:ind w:firstLine="560" w:firstLineChars="200"/>
        <w:rPr>
          <w:rFonts w:ascii="Calibri Light" w:hAnsi="Calibri Light" w:eastAsia="仿宋"/>
          <w:sz w:val="28"/>
        </w:rPr>
      </w:pPr>
    </w:p>
    <w:p w14:paraId="7523027D">
      <w:pPr>
        <w:spacing w:line="400" w:lineRule="exact"/>
        <w:ind w:firstLine="562" w:firstLineChars="200"/>
        <w:rPr>
          <w:rFonts w:ascii="Calibri Light" w:hAnsi="Calibri Light" w:eastAsia="仿宋"/>
          <w:b/>
          <w:color w:val="FF0000"/>
          <w:sz w:val="28"/>
        </w:rPr>
      </w:pPr>
      <w:r>
        <w:rPr>
          <w:rFonts w:hint="eastAsia" w:ascii="Calibri Light" w:hAnsi="Calibri Light" w:eastAsia="仿宋"/>
          <w:b/>
          <w:color w:val="FF0000"/>
          <w:sz w:val="28"/>
        </w:rPr>
        <w:t>（最后再次提醒：第二、三、四项内容必须与招标文件对应条款及投标文件响应条款一致，第五至第十项优先按照招标文件对应条款拟定，若投标响应内容优于招标文件的按投标内容拟定，同时甲乙双方可协商补充内容，但必须优于招标文件要求和投标文件响应内容，第十一至十五项内容在不改变模板内容前提下甲乙双方可协商增加内容，若甲乙双方协商有除上述条款之外的其他条款请插入合理位置，同时注意调整序号。）</w:t>
      </w:r>
    </w:p>
    <w:p w14:paraId="14E8008D">
      <w:pPr>
        <w:tabs>
          <w:tab w:val="left" w:pos="480"/>
        </w:tabs>
        <w:ind w:firstLine="480" w:firstLineChars="200"/>
        <w:rPr>
          <w:rFonts w:ascii="仿宋_GB2312" w:hAnsi="宋体" w:eastAsia="仿宋_GB2312"/>
          <w:color w:val="000000"/>
          <w:spacing w:val="-20"/>
          <w:kern w:val="0"/>
          <w:sz w:val="28"/>
          <w:szCs w:val="20"/>
        </w:rPr>
      </w:pPr>
      <w:r>
        <w:rPr>
          <w:rFonts w:ascii="仿宋_GB2312" w:hAnsi="宋体" w:eastAsia="仿宋_GB2312"/>
          <w:color w:val="000000"/>
          <w:spacing w:val="-20"/>
          <w:kern w:val="0"/>
          <w:sz w:val="28"/>
          <w:szCs w:val="20"/>
        </w:rPr>
        <w:br w:type="page"/>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5"/>
        <w:gridCol w:w="3095"/>
      </w:tblGrid>
      <w:tr w14:paraId="284B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694994F5">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甲  方</w:t>
            </w:r>
          </w:p>
        </w:tc>
        <w:tc>
          <w:tcPr>
            <w:tcW w:w="3095" w:type="dxa"/>
            <w:tcBorders>
              <w:top w:val="single" w:color="auto" w:sz="4" w:space="0"/>
              <w:left w:val="single" w:color="auto" w:sz="4" w:space="0"/>
              <w:bottom w:val="single" w:color="auto" w:sz="4" w:space="0"/>
              <w:right w:val="single" w:color="auto" w:sz="4" w:space="0"/>
            </w:tcBorders>
          </w:tcPr>
          <w:p w14:paraId="1D7A4390">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乙  方</w:t>
            </w:r>
          </w:p>
        </w:tc>
      </w:tr>
      <w:tr w14:paraId="274B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vAlign w:val="center"/>
          </w:tcPr>
          <w:p w14:paraId="1647A08C">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采购人名称</w:t>
            </w:r>
          </w:p>
          <w:p w14:paraId="5602C9F3">
            <w:pPr>
              <w:autoSpaceDE w:val="0"/>
              <w:autoSpaceDN w:val="0"/>
              <w:adjustRightInd w:val="0"/>
              <w:spacing w:line="360" w:lineRule="auto"/>
              <w:jc w:val="center"/>
              <w:rPr>
                <w:rFonts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（请填写具体名称）</w:t>
            </w:r>
          </w:p>
          <w:p w14:paraId="12258143">
            <w:pPr>
              <w:autoSpaceDE w:val="0"/>
              <w:autoSpaceDN w:val="0"/>
              <w:adjustRightInd w:val="0"/>
              <w:spacing w:line="360" w:lineRule="auto"/>
              <w:ind w:firstLine="840" w:firstLineChars="350"/>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c>
          <w:tcPr>
            <w:tcW w:w="3095" w:type="dxa"/>
            <w:tcBorders>
              <w:top w:val="single" w:color="auto" w:sz="4" w:space="0"/>
              <w:left w:val="single" w:color="auto" w:sz="4" w:space="0"/>
              <w:bottom w:val="single" w:color="auto" w:sz="4" w:space="0"/>
              <w:right w:val="single" w:color="auto" w:sz="4" w:space="0"/>
            </w:tcBorders>
            <w:vAlign w:val="center"/>
          </w:tcPr>
          <w:p w14:paraId="6F0D84A5">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成交供应商全称</w:t>
            </w:r>
          </w:p>
          <w:p w14:paraId="4478458D">
            <w:pPr>
              <w:autoSpaceDE w:val="0"/>
              <w:autoSpaceDN w:val="0"/>
              <w:adjustRightInd w:val="0"/>
              <w:spacing w:line="360" w:lineRule="auto"/>
              <w:jc w:val="center"/>
              <w:rPr>
                <w:rFonts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（请填写具体名称）</w:t>
            </w:r>
          </w:p>
          <w:p w14:paraId="738D1CA3">
            <w:pPr>
              <w:autoSpaceDE w:val="0"/>
              <w:autoSpaceDN w:val="0"/>
              <w:adjustRightInd w:val="0"/>
              <w:spacing w:line="360" w:lineRule="auto"/>
              <w:ind w:firstLine="960" w:firstLineChars="400"/>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r>
      <w:tr w14:paraId="1A99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498C92D2">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地址： </w:t>
            </w:r>
          </w:p>
        </w:tc>
        <w:tc>
          <w:tcPr>
            <w:tcW w:w="3095" w:type="dxa"/>
            <w:tcBorders>
              <w:top w:val="single" w:color="auto" w:sz="4" w:space="0"/>
              <w:left w:val="single" w:color="auto" w:sz="4" w:space="0"/>
              <w:bottom w:val="single" w:color="auto" w:sz="4" w:space="0"/>
              <w:right w:val="single" w:color="auto" w:sz="4" w:space="0"/>
            </w:tcBorders>
          </w:tcPr>
          <w:p w14:paraId="72F61A9F">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w:t>
            </w:r>
          </w:p>
        </w:tc>
      </w:tr>
      <w:tr w14:paraId="648E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1C820DBB">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3095" w:type="dxa"/>
            <w:tcBorders>
              <w:top w:val="single" w:color="auto" w:sz="4" w:space="0"/>
              <w:left w:val="single" w:color="auto" w:sz="4" w:space="0"/>
              <w:bottom w:val="single" w:color="auto" w:sz="4" w:space="0"/>
              <w:right w:val="single" w:color="auto" w:sz="4" w:space="0"/>
            </w:tcBorders>
          </w:tcPr>
          <w:p w14:paraId="361F7828">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r>
      <w:tr w14:paraId="0C80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23FBE04B">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法定代表人： </w:t>
            </w:r>
          </w:p>
        </w:tc>
        <w:tc>
          <w:tcPr>
            <w:tcW w:w="3095" w:type="dxa"/>
            <w:tcBorders>
              <w:top w:val="single" w:color="auto" w:sz="4" w:space="0"/>
              <w:left w:val="single" w:color="auto" w:sz="4" w:space="0"/>
              <w:bottom w:val="single" w:color="auto" w:sz="4" w:space="0"/>
              <w:right w:val="single" w:color="auto" w:sz="4" w:space="0"/>
            </w:tcBorders>
          </w:tcPr>
          <w:p w14:paraId="05BE5A78">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r>
      <w:tr w14:paraId="5B0C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7B8DFDF2">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3095" w:type="dxa"/>
            <w:tcBorders>
              <w:top w:val="single" w:color="auto" w:sz="4" w:space="0"/>
              <w:left w:val="single" w:color="auto" w:sz="4" w:space="0"/>
              <w:bottom w:val="single" w:color="auto" w:sz="4" w:space="0"/>
              <w:right w:val="single" w:color="auto" w:sz="4" w:space="0"/>
            </w:tcBorders>
          </w:tcPr>
          <w:p w14:paraId="3EF63181">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r>
      <w:tr w14:paraId="18D4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594B6CED">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3095" w:type="dxa"/>
            <w:tcBorders>
              <w:top w:val="single" w:color="auto" w:sz="4" w:space="0"/>
              <w:left w:val="single" w:color="auto" w:sz="4" w:space="0"/>
              <w:bottom w:val="single" w:color="auto" w:sz="4" w:space="0"/>
              <w:right w:val="single" w:color="auto" w:sz="4" w:space="0"/>
            </w:tcBorders>
          </w:tcPr>
          <w:p w14:paraId="6CAE22B2">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r>
      <w:tr w14:paraId="4BCF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41E713FA">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3095" w:type="dxa"/>
            <w:tcBorders>
              <w:top w:val="single" w:color="auto" w:sz="4" w:space="0"/>
              <w:left w:val="single" w:color="auto" w:sz="4" w:space="0"/>
              <w:bottom w:val="single" w:color="auto" w:sz="4" w:space="0"/>
              <w:right w:val="single" w:color="auto" w:sz="4" w:space="0"/>
            </w:tcBorders>
          </w:tcPr>
          <w:p w14:paraId="3C1FCB74">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r>
      <w:tr w14:paraId="4C32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6D2486C1">
            <w:pPr>
              <w:autoSpaceDE w:val="0"/>
              <w:autoSpaceDN w:val="0"/>
              <w:adjustRightInd w:val="0"/>
              <w:spacing w:line="360" w:lineRule="auto"/>
              <w:jc w:val="left"/>
              <w:rPr>
                <w:rFonts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tcPr>
          <w:p w14:paraId="75AD1508">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开户银行：</w:t>
            </w:r>
          </w:p>
        </w:tc>
      </w:tr>
      <w:tr w14:paraId="3C1B3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2AA3481F">
            <w:pPr>
              <w:autoSpaceDE w:val="0"/>
              <w:autoSpaceDN w:val="0"/>
              <w:adjustRightInd w:val="0"/>
              <w:spacing w:line="360" w:lineRule="auto"/>
              <w:jc w:val="left"/>
              <w:rPr>
                <w:rFonts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tcPr>
          <w:p w14:paraId="7F70B8AE">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帐号：</w:t>
            </w:r>
          </w:p>
        </w:tc>
      </w:tr>
      <w:tr w14:paraId="30AB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15" w:type="dxa"/>
            <w:tcBorders>
              <w:top w:val="single" w:color="auto" w:sz="4" w:space="0"/>
              <w:left w:val="single" w:color="auto" w:sz="4" w:space="0"/>
              <w:bottom w:val="single" w:color="auto" w:sz="4" w:space="0"/>
              <w:right w:val="single" w:color="auto" w:sz="4" w:space="0"/>
            </w:tcBorders>
          </w:tcPr>
          <w:p w14:paraId="3CC59AC4">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3095" w:type="dxa"/>
            <w:tcBorders>
              <w:top w:val="single" w:color="auto" w:sz="4" w:space="0"/>
              <w:left w:val="single" w:color="auto" w:sz="4" w:space="0"/>
              <w:bottom w:val="single" w:color="auto" w:sz="4" w:space="0"/>
              <w:right w:val="single" w:color="auto" w:sz="4" w:space="0"/>
            </w:tcBorders>
          </w:tcPr>
          <w:p w14:paraId="57039A24">
            <w:pPr>
              <w:autoSpaceDE w:val="0"/>
              <w:autoSpaceDN w:val="0"/>
              <w:adjustRightInd w:val="0"/>
              <w:spacing w:line="360" w:lineRule="auto"/>
              <w:jc w:val="left"/>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r>
    </w:tbl>
    <w:p w14:paraId="6D31BF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688BE"/>
    <w:multiLevelType w:val="singleLevel"/>
    <w:tmpl w:val="B02688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5YmNkNDQyZjU5NmM1MjY3YWVlNmNkYmMxMzUzY2IifQ=="/>
  </w:docVars>
  <w:rsids>
    <w:rsidRoot w:val="00EA3128"/>
    <w:rsid w:val="004A31A3"/>
    <w:rsid w:val="007A4F2E"/>
    <w:rsid w:val="00EA3128"/>
    <w:rsid w:val="0F0E1043"/>
    <w:rsid w:val="185B0A62"/>
    <w:rsid w:val="3A5B357A"/>
    <w:rsid w:val="3DB669FB"/>
    <w:rsid w:val="3F4E774A"/>
    <w:rsid w:val="42332482"/>
    <w:rsid w:val="4AE158D8"/>
    <w:rsid w:val="4D1E75FD"/>
    <w:rsid w:val="6E5B647E"/>
    <w:rsid w:val="7757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tLeast"/>
      <w:outlineLvl w:val="3"/>
    </w:pPr>
    <w:rPr>
      <w:rFonts w:ascii="Cambria" w:hAnsi="Cambria" w:cs="Cambria"/>
      <w:b/>
      <w:bCs/>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本文正文 Char1 Char Char Char Char Char Char Char Char Char Char Char Char Char Char Char Char Char Char Char Char Char Char Char Char Char Char"/>
    <w:link w:val="10"/>
    <w:qFormat/>
    <w:uiPriority w:val="0"/>
    <w:rPr>
      <w:rFonts w:ascii="宋体" w:hAnsi="宋体" w:eastAsiaTheme="minorEastAsia" w:cstheme="minorBidi"/>
      <w:kern w:val="0"/>
      <w:sz w:val="24"/>
      <w:szCs w:val="24"/>
    </w:rPr>
  </w:style>
  <w:style w:type="paragraph" w:customStyle="1" w:styleId="10">
    <w:name w:val="本文正文 Char1 Char Char Char Char Char Char Char Char Char Char Char Char Char Char Char Char Char Char Char Char Char Char Char Char"/>
    <w:basedOn w:val="1"/>
    <w:link w:val="9"/>
    <w:qFormat/>
    <w:uiPriority w:val="0"/>
    <w:pPr>
      <w:spacing w:line="480" w:lineRule="exact"/>
      <w:ind w:firstLine="200" w:firstLineChars="200"/>
      <w:jc w:val="left"/>
    </w:pPr>
    <w:rPr>
      <w:rFonts w:ascii="宋体" w:hAnsi="宋体" w:eastAsiaTheme="minorEastAsia" w:cstheme="minorBidi"/>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4192</Words>
  <Characters>4260</Characters>
  <Lines>35</Lines>
  <Paragraphs>9</Paragraphs>
  <TotalTime>4</TotalTime>
  <ScaleCrop>false</ScaleCrop>
  <LinksUpToDate>false</LinksUpToDate>
  <CharactersWithSpaces>4333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2023-05-25T08:31:00Z</dcterms:created>
  <dc:creator>魏文博</dc:creator>
  <cp:lastModifiedBy>什么糖</cp:lastModifiedBy>
  <dcterms:modified xsi:type="dcterms:W3CDTF">2025-06-09T08:35:49Z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0F5A6C4D40B94065AC7109DE94EC4529_13</vt:lpwstr>
  </property>
  <property fmtid="{D5CDD505-2E9C-101B-9397-08002B2CF9AE}" pid="4" name="KSOTemplateDocerSaveRecord">
    <vt:lpwstr>eyJoZGlkIjoiNTY5YmNkNDQyZjU5NmM1MjY3YWVlNmNkYmMxMzUzY2IiLCJ1c2VySWQiOiIyNjA0ODAzODcifQ==</vt:lpwstr>
  </property>
</Properties>
</file>