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版本号：2025-HZZB-03420250609001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2025年化工盐采购项目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2025-HZZB-034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2025年化工盐采购项目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2025年化工盐采购项目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2025年化工盐采购，详见技术要求。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3、具有履行合同所必需的设备和专业技术能力：提供具有履行合同所必需的设备和专业技术能力承诺函</w:t>
      </w:r>
    </w:p>
    <w:p>
      <w:pPr>
        <w:pStyle w:val="null3"/>
      </w:pPr>
      <w:r>
        <w:rPr>
          <w:rFonts w:ascii="仿宋_GB2312" w:hAnsi="仿宋_GB2312" w:cs="仿宋_GB2312" w:eastAsia="仿宋_GB2312"/>
        </w:rPr>
        <w:t>4、税收缴纳证明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或具有依法缴纳税收的诚信声明； 以上二种形式的资料提供任何一种即可。</w:t>
      </w:r>
    </w:p>
    <w:p>
      <w:pPr>
        <w:pStyle w:val="null3"/>
      </w:pPr>
      <w:r>
        <w:rPr>
          <w:rFonts w:ascii="仿宋_GB2312" w:hAnsi="仿宋_GB2312" w:cs="仿宋_GB2312" w:eastAsia="仿宋_GB2312"/>
        </w:rPr>
        <w:t>5、具有依法缴纳社会保障资金的良好记录：提供缴费所属日期为投标截止时间前12个月内任意一个月（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7、供应商应授权合法的人员参加投标：法定代表人直接参加的须出具法定代表人身份证并与营业执照上信息一致，法定代表人授权代表参加的须出具法定代表人授权书及被授权人本单位证明 (近三个月社保缴纳证明)。</w:t>
      </w:r>
    </w:p>
    <w:p>
      <w:pPr>
        <w:pStyle w:val="null3"/>
      </w:pPr>
      <w:r>
        <w:rPr>
          <w:rFonts w:ascii="仿宋_GB2312" w:hAnsi="仿宋_GB2312" w:cs="仿宋_GB2312" w:eastAsia="仿宋_GB2312"/>
        </w:rPr>
        <w:t>8、信誉要求：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供应商信誉承诺：1)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 2)由于违规违纪被列入市卫健系统“黑名单”的供应商，在规定的期限内不得参与采购人项目的投标（响应）。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国家计委关于印发招标代理服务收费管理暂行办法的通知》（计价格〔2002〕1980号）和国家发改委办公厅《关于招标代理服务收费有关问题的通知》（发改办价格〔2003〕857号）文件规定标准下浮20%收取。成交单位在领取成交通知书时向代理机构支付代理服务费。本次代理服务费计算依据：700000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地址：陕西省西安市雁塔区科技西路绿地博海大厦11603室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2025年化工盐采购，详见技术要求。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西安市第三医院化工盐采购项目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标的名称：西安市第三医院化工盐采购项目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7"/>
              <w:gridCol w:w="227"/>
              <w:gridCol w:w="4647"/>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参数性质</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技术参数与性能指标</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28"/>
                    <w:gridCol w:w="453"/>
                    <w:gridCol w:w="767"/>
                    <w:gridCol w:w="767"/>
                    <w:gridCol w:w="733"/>
                    <w:gridCol w:w="1384"/>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货物名称</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型号规格</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p>
                        <w:pPr>
                          <w:pStyle w:val="null3"/>
                          <w:jc w:val="center"/>
                        </w:pPr>
                        <w:r>
                          <w:rPr>
                            <w:rFonts w:ascii="仿宋_GB2312" w:hAnsi="仿宋_GB2312" w:cs="仿宋_GB2312" w:eastAsia="仿宋_GB2312"/>
                            <w:sz w:val="22"/>
                          </w:rPr>
                          <w:t>（单位：袋）</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单价最高限价（单位：元</w:t>
                        </w:r>
                        <w:r>
                          <w:rPr>
                            <w:rFonts w:ascii="仿宋_GB2312" w:hAnsi="仿宋_GB2312" w:cs="仿宋_GB2312" w:eastAsia="仿宋_GB2312"/>
                            <w:sz w:val="22"/>
                          </w:rPr>
                          <w:t>/袋）</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软化盐</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10KG/袋，</w:t>
                        </w:r>
                      </w:p>
                      <w:p>
                        <w:pPr>
                          <w:pStyle w:val="null3"/>
                          <w:jc w:val="center"/>
                        </w:pPr>
                        <w:r>
                          <w:rPr>
                            <w:rFonts w:ascii="仿宋_GB2312" w:hAnsi="仿宋_GB2312" w:cs="仿宋_GB2312" w:eastAsia="仿宋_GB2312"/>
                            <w:sz w:val="22"/>
                          </w:rPr>
                          <w:t>氯化钠含量</w:t>
                        </w:r>
                        <w:r>
                          <w:rPr>
                            <w:rFonts w:ascii="仿宋_GB2312" w:hAnsi="仿宋_GB2312" w:cs="仿宋_GB2312" w:eastAsia="仿宋_GB2312"/>
                            <w:sz w:val="22"/>
                          </w:rPr>
                          <w:t>≥99.</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以实际需求为准</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符合企业《离子交换树脂再生剂（软化专用盐）》标准</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工业盐</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50KG/袋，</w:t>
                        </w:r>
                      </w:p>
                      <w:p>
                        <w:pPr>
                          <w:pStyle w:val="null3"/>
                          <w:jc w:val="center"/>
                        </w:pPr>
                        <w:r>
                          <w:rPr>
                            <w:rFonts w:ascii="仿宋_GB2312" w:hAnsi="仿宋_GB2312" w:cs="仿宋_GB2312" w:eastAsia="仿宋_GB2312"/>
                            <w:sz w:val="22"/>
                          </w:rPr>
                          <w:t>氯化钠含量</w:t>
                        </w:r>
                        <w:r>
                          <w:rPr>
                            <w:rFonts w:ascii="仿宋_GB2312" w:hAnsi="仿宋_GB2312" w:cs="仿宋_GB2312" w:eastAsia="仿宋_GB2312"/>
                            <w:sz w:val="22"/>
                          </w:rPr>
                          <w:t>≥95%</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以实际需求为准</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符合</w:t>
                        </w:r>
                        <w:r>
                          <w:rPr>
                            <w:rFonts w:ascii="仿宋_GB2312" w:hAnsi="仿宋_GB2312" w:cs="仿宋_GB2312" w:eastAsia="仿宋_GB2312"/>
                            <w:sz w:val="22"/>
                          </w:rPr>
                          <w:t>GB/T5462-2015标准</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酸化水机专用盐</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1KG/袋，</w:t>
                        </w:r>
                      </w:p>
                      <w:p>
                        <w:pPr>
                          <w:pStyle w:val="null3"/>
                          <w:jc w:val="center"/>
                        </w:pPr>
                        <w:r>
                          <w:rPr>
                            <w:rFonts w:ascii="仿宋_GB2312" w:hAnsi="仿宋_GB2312" w:cs="仿宋_GB2312" w:eastAsia="仿宋_GB2312"/>
                            <w:sz w:val="22"/>
                          </w:rPr>
                          <w:t>氯化钠含量</w:t>
                        </w:r>
                        <w:r>
                          <w:rPr>
                            <w:rFonts w:ascii="仿宋_GB2312" w:hAnsi="仿宋_GB2312" w:cs="仿宋_GB2312" w:eastAsia="仿宋_GB2312"/>
                            <w:sz w:val="22"/>
                          </w:rPr>
                          <w:t>≥99.9%</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以实际需求为准</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符合《中国药典</w:t>
                        </w:r>
                        <w:r>
                          <w:rPr>
                            <w:rFonts w:ascii="仿宋_GB2312" w:hAnsi="仿宋_GB2312" w:cs="仿宋_GB2312" w:eastAsia="仿宋_GB2312"/>
                            <w:sz w:val="22"/>
                          </w:rPr>
                          <w:t>2015年版二部》及企标, 产品要求纯度≥99.9%</w:t>
                        </w:r>
                      </w:p>
                    </w:tc>
                  </w:tr>
                </w:tbl>
                <w:p>
                  <w:pPr>
                    <w:pStyle w:val="null3"/>
                    <w:jc w:val="both"/>
                  </w:p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4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1、供应的软化盐必须是全新（未曾使用过、非积压库存商品）、各类均符合甲方要求。</w:t>
                  </w:r>
                </w:p>
                <w:p>
                  <w:pPr>
                    <w:pStyle w:val="null3"/>
                    <w:ind w:firstLine="482"/>
                  </w:pPr>
                  <w:r>
                    <w:rPr>
                      <w:rFonts w:ascii="仿宋_GB2312" w:hAnsi="仿宋_GB2312" w:cs="仿宋_GB2312" w:eastAsia="仿宋_GB2312"/>
                      <w:sz w:val="22"/>
                    </w:rPr>
                    <w:t>2、酸化水机专用盐产品要符合相关标准, 氯化钠含量≥99.9%。</w:t>
                  </w:r>
                </w:p>
                <w:p>
                  <w:pPr>
                    <w:pStyle w:val="null3"/>
                    <w:ind w:firstLine="482"/>
                  </w:pPr>
                  <w:r>
                    <w:rPr>
                      <w:rFonts w:ascii="仿宋_GB2312" w:hAnsi="仿宋_GB2312" w:cs="仿宋_GB2312" w:eastAsia="仿宋_GB2312"/>
                      <w:sz w:val="22"/>
                    </w:rPr>
                    <w:t>3、工业盐氯化钠含量≥95%，产品要符合GB/T5462-2015标准。</w:t>
                  </w:r>
                </w:p>
                <w:p>
                  <w:pPr>
                    <w:pStyle w:val="null3"/>
                    <w:ind w:firstLine="482"/>
                  </w:pPr>
                  <w:r>
                    <w:rPr>
                      <w:rFonts w:ascii="仿宋_GB2312" w:hAnsi="仿宋_GB2312" w:cs="仿宋_GB2312" w:eastAsia="仿宋_GB2312"/>
                      <w:sz w:val="22"/>
                    </w:rPr>
                    <w:t>4、软化盐产品要求氯化钠含量≥99.5%  符合相关标准。</w:t>
                  </w:r>
                </w:p>
                <w:p>
                  <w:pPr>
                    <w:pStyle w:val="null3"/>
                    <w:ind w:firstLine="482"/>
                  </w:pPr>
                  <w:r>
                    <w:rPr>
                      <w:rFonts w:ascii="仿宋_GB2312" w:hAnsi="仿宋_GB2312" w:cs="仿宋_GB2312" w:eastAsia="仿宋_GB2312"/>
                      <w:sz w:val="22"/>
                    </w:rPr>
                    <w:t>其他说明事项：</w:t>
                  </w:r>
                </w:p>
                <w:p>
                  <w:pPr>
                    <w:pStyle w:val="null3"/>
                    <w:ind w:firstLine="482"/>
                  </w:pPr>
                  <w:r>
                    <w:rPr>
                      <w:rFonts w:ascii="仿宋_GB2312" w:hAnsi="仿宋_GB2312" w:cs="仿宋_GB2312" w:eastAsia="仿宋_GB2312"/>
                      <w:sz w:val="22"/>
                    </w:rPr>
                    <w:t>本项目为单价采购合同，合同期限为一年。供应商应按采购人要求报出采购货品的单价，在合同执行阶段根据实际送货量据实结算。</w:t>
                  </w:r>
                  <w:r>
                    <w:br/>
                  </w:r>
                  <w:r>
                    <w:rPr>
                      <w:rFonts w:ascii="仿宋_GB2312" w:hAnsi="仿宋_GB2312" w:cs="仿宋_GB2312" w:eastAsia="仿宋_GB2312"/>
                      <w:sz w:val="22"/>
                    </w:rPr>
                    <w:t>5、验收标准:</w:t>
                  </w:r>
                  <w:r>
                    <w:br/>
                  </w:r>
                  <w:r>
                    <w:rPr>
                      <w:rFonts w:ascii="仿宋_GB2312" w:hAnsi="仿宋_GB2312" w:cs="仿宋_GB2312" w:eastAsia="仿宋_GB2312"/>
                      <w:sz w:val="22"/>
                    </w:rPr>
                    <w:t>5.1产品的数量、规格、型号等与采购清单一致。</w:t>
                  </w:r>
                </w:p>
                <w:p>
                  <w:pPr>
                    <w:pStyle w:val="null3"/>
                    <w:ind w:firstLine="482"/>
                  </w:pPr>
                  <w:r>
                    <w:rPr>
                      <w:rFonts w:ascii="仿宋_GB2312" w:hAnsi="仿宋_GB2312" w:cs="仿宋_GB2312" w:eastAsia="仿宋_GB2312"/>
                      <w:sz w:val="22"/>
                    </w:rPr>
                    <w:t>5.2产品包装应注明产品名称、规格、商标、等级、生产单位以及标准编号。包装物需完好无损，不得影响产品质量和外观。</w:t>
                  </w:r>
                </w:p>
                <w:p>
                  <w:pPr>
                    <w:pStyle w:val="null3"/>
                    <w:ind w:firstLine="482"/>
                  </w:pPr>
                  <w:r>
                    <w:rPr>
                      <w:rFonts w:ascii="仿宋_GB2312" w:hAnsi="仿宋_GB2312" w:cs="仿宋_GB2312" w:eastAsia="仿宋_GB2312"/>
                      <w:sz w:val="22"/>
                    </w:rPr>
                    <w:t>5.3产品性能符合相关标准和使用要求。</w:t>
                  </w:r>
                  <w:r>
                    <w:br/>
                  </w:r>
                  <w:r>
                    <w:rPr>
                      <w:rFonts w:ascii="仿宋_GB2312" w:hAnsi="仿宋_GB2312" w:cs="仿宋_GB2312" w:eastAsia="仿宋_GB2312"/>
                      <w:sz w:val="22"/>
                    </w:rPr>
                    <w:t>6、售后服务</w:t>
                  </w:r>
                  <w:r>
                    <w:br/>
                  </w:r>
                  <w:r>
                    <w:rPr>
                      <w:rFonts w:ascii="仿宋_GB2312" w:hAnsi="仿宋_GB2312" w:cs="仿宋_GB2312" w:eastAsia="仿宋_GB2312"/>
                      <w:sz w:val="22"/>
                    </w:rPr>
                    <w:t>6.1供应商提供质量保证，对于质量问题负责免费更换。</w:t>
                  </w:r>
                </w:p>
                <w:p>
                  <w:pPr>
                    <w:pStyle w:val="null3"/>
                    <w:ind w:firstLine="482"/>
                  </w:pPr>
                  <w:r>
                    <w:rPr>
                      <w:rFonts w:ascii="仿宋_GB2312" w:hAnsi="仿宋_GB2312" w:cs="仿宋_GB2312" w:eastAsia="仿宋_GB2312"/>
                      <w:sz w:val="22"/>
                    </w:rPr>
                    <w:t>6.2对于非质量问题的售后咨询和技术支持，供应商及时响应和解决。</w:t>
                  </w:r>
                </w:p>
                <w:p>
                  <w:pPr>
                    <w:pStyle w:val="null3"/>
                    <w:ind w:firstLine="482"/>
                  </w:pPr>
                  <w:r>
                    <w:rPr>
                      <w:rFonts w:ascii="仿宋_GB2312" w:hAnsi="仿宋_GB2312" w:cs="仿宋_GB2312" w:eastAsia="仿宋_GB2312"/>
                      <w:sz w:val="22"/>
                    </w:rPr>
                    <w:t>6.3由化工盐检测不合格导致发生的所有问题均由供货商负责。</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接甲方订货通知后5天内送货至指定地点，根据实际送货量据实结算；整体服务期限12个月。</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供应商提供小微企业制造的货物（不包括使用大型、中型企业商号或者注册商标的货物）参与政府采购活动时对小型和微型企业产品的报价给予10%的扣除，用扣除后的价格参加评审。供应商提供的货物既有中小企业制造货物，也有大型企业制造货物的，不享受中小企业扶持政策。 监狱企业/残疾人福利性单位均视同小型、微型企业。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提供具有履行合同所必需的设备和专业技术能力承诺函</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或具有依法缴纳税收的诚信声明； 以上二种形式的资料提供任何一种即可。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法定代表人直接参加的须出具法定代表人身份证并与营业执照上信息一致，法定代表人授权代表参加的须出具法定代表人授权书及被授权人本单位证明 (近三个月社保缴纳证明)。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供应商信誉承诺</w:t>
            </w:r>
          </w:p>
        </w:tc>
        <w:tc>
          <w:tcPr>
            <w:tcW w:type="dxa" w:w="3322"/>
          </w:tcPr>
          <w:p>
            <w:pPr>
              <w:pStyle w:val="null3"/>
            </w:pPr>
            <w:r>
              <w:rPr>
                <w:rFonts w:ascii="仿宋_GB2312" w:hAnsi="仿宋_GB2312" w:cs="仿宋_GB2312" w:eastAsia="仿宋_GB2312"/>
              </w:rPr>
              <w:t>1)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 2)由于违规违纪被列入市卫健系统“黑名单”的供应商，在规定的期限内不得参与采购人项目的投标（响应）。</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响应文件的签署、盖章不符合磋商文件要求不合格， 响应文件的数量、签署、盖章符合磋商文件要求。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对磋商文件响应及文件交货期</w:t>
            </w:r>
          </w:p>
        </w:tc>
        <w:tc>
          <w:tcPr>
            <w:tcW w:type="dxa" w:w="3322"/>
          </w:tcPr>
          <w:p>
            <w:pPr>
              <w:pStyle w:val="null3"/>
            </w:pPr>
            <w:r>
              <w:rPr>
                <w:rFonts w:ascii="仿宋_GB2312" w:hAnsi="仿宋_GB2312" w:cs="仿宋_GB2312" w:eastAsia="仿宋_GB2312"/>
              </w:rPr>
              <w:t>响应文件的交货时间不满足磋商文件要求不合格， 响应文件的交货时间满足招标文件要求合格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响应文件货物标的出现漏项或货物数量与要求不符的不合格， 响应文件货物标的没有漏项或货物数量与要求符合</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响应文件含有采购人不能接受的附加条件的不合格， 响应文件没有采购人不能接受的附加条件的合格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不存在法律、法规和磋商文件规定的其他无效情形合格， 存在法律、法规和响应文件规定的其他无效情形不合格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只能有一个有效报价，不得提交选择性报价，按要求提交二次或多次报价，且每轮报价不超过采购最高限价或磋商小组认为低于成本价的报价。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 年 1月 1 日以来类似项目的业绩（时间以合同签订时间为准），每提供一份有效合同(合同复印件盖章)得 2 分，满分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 指标</w:t>
            </w:r>
          </w:p>
        </w:tc>
        <w:tc>
          <w:tcPr>
            <w:tcW w:type="dxa" w:w="2492"/>
          </w:tcPr>
          <w:p>
            <w:pPr>
              <w:pStyle w:val="null3"/>
            </w:pPr>
            <w:r>
              <w:rPr>
                <w:rFonts w:ascii="仿宋_GB2312" w:hAnsi="仿宋_GB2312" w:cs="仿宋_GB2312" w:eastAsia="仿宋_GB2312"/>
              </w:rPr>
              <w:t>根据供应商提供所投产品的技术参数表及相应证明材料，经专家评审完全符合、响应磋商文件要求，没有负偏离的得9分；参数负偏离一项扣3分，扣完为止。注：磋商文件中的技术要求需提供证明材料， 未提供或提供的证明材料低于磋商文件规定的响应技术指标、参数时视为负偏离。</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①售后服务人员组织；②售后服务保障措施；③产品交付采购方后出现质量问题的响应时间；④供货不及时、出现残次品等补货换货解决方案；⑤售后服务承诺； 评审标准：方案各部分内容全面详细、阐述条例清晰详尽、符合本项目采购需求得每项得2分，最高得10分；评审内容有缺陷不满足采购需求的每项扣1分。未提供此项内容不得分。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产品制造商具有①稳定的生产场地；②良好的质量管理体系；③生产设备先进；④生产能力强；⑤生产人员充足且分配合理等综合实力，根据提供相关证明文件的完整程度赋分，每有一项得1分，最高得5分。评审内容有缺陷不满足采购需求的每项扣0.5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生产能力.docx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产品货源渠道正常，安全可靠，质量有保证，性能良好，符合国家相关标准，检验手续齐全，合法有效，无产权纠纷。 提供的资料齐全，无缺漏得10分，产品资料基本满足要求，能证明其来源渠道可靠，但无法很好体现产品性能等其他因素得5分。（供应商提供的资料包括但不限于不限于厂家授权、质量检测报告、产品质量证书、厂家官网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应急响应</w:t>
            </w:r>
          </w:p>
        </w:tc>
        <w:tc>
          <w:tcPr>
            <w:tcW w:type="dxa" w:w="2492"/>
          </w:tcPr>
          <w:p>
            <w:pPr>
              <w:pStyle w:val="null3"/>
            </w:pPr>
            <w:r>
              <w:rPr>
                <w:rFonts w:ascii="仿宋_GB2312" w:hAnsi="仿宋_GB2312" w:cs="仿宋_GB2312" w:eastAsia="仿宋_GB2312"/>
              </w:rPr>
              <w:t>供应商应提供应急处理措施包括但不限于出现突发情况应急措施、采购人紧急需要送货等情况的应急响应时间承诺及应急方案。 方案各部分内容全面详细、阐述条例清晰详尽、符合本项目采购需求得10分； 内容全面、阐述条例全面、基本符合本项目采购需求得5分 评审内容有缺陷不满足采购需求的每项得3分。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应急响应.docx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供应商投标产品中每有一项产品同时为节能产品和环境标志产品得1分，本项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针对本项目提供具体的实施方案，方案内容包含①物流保障措施；②配送人员安排方案；③供货计划。 评审标准：方案各部分内容全面详细、阐述条例清晰详尽、符合本项目采购需求得每项得5分，最高15分；评审内容每缺一项扣5分；评审内容有缺陷每项扣2.5分。未提供此项内容不得分。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经初审合格的响应文件，其响应报价为有效投标价。评审基准价：即满足磋商文件要求且投标价格最低的响应报价为评审基准价。其他供应商的价格分按照下列公式计算。 响应报价得分=(评审基准价／响应报价)×30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详见附件：生产能力.docx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