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121C6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495886DF"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33EC91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2A6CA7D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6505FF2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9320F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420D0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68386B0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1C2DDB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6A5A4B6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A6D9BF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5CD79D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09CFDD8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67BB8A1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15423D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3DE28A2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4111A1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1458B192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 w14:paraId="05133A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4301DB73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41D07AB">
      <w:pPr>
        <w:ind w:right="480"/>
        <w:rPr>
          <w:rFonts w:hint="eastAsia" w:ascii="仿宋" w:hAnsi="仿宋" w:eastAsia="仿宋" w:cs="仿宋"/>
          <w:sz w:val="28"/>
        </w:rPr>
      </w:pPr>
    </w:p>
    <w:p w14:paraId="03ACF5F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BB20A2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670FE5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2ED1A93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552C782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6A4DD8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48E107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74C86D7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9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149"/>
        <w:gridCol w:w="1668"/>
        <w:gridCol w:w="1728"/>
        <w:gridCol w:w="2067"/>
        <w:gridCol w:w="879"/>
      </w:tblGrid>
      <w:tr w14:paraId="33C75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B9E3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1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44B1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体检套餐类型</w:t>
            </w:r>
          </w:p>
        </w:tc>
        <w:tc>
          <w:tcPr>
            <w:tcW w:w="9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0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人数（人）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179D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/人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）</w:t>
            </w:r>
          </w:p>
        </w:tc>
        <w:tc>
          <w:tcPr>
            <w:tcW w:w="11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130F"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合计（元）</w:t>
            </w:r>
          </w:p>
        </w:tc>
        <w:tc>
          <w:tcPr>
            <w:tcW w:w="4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ACEA8">
            <w:pPr>
              <w:widowControl/>
              <w:spacing w:line="360" w:lineRule="auto"/>
              <w:ind w:right="-57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备注</w:t>
            </w:r>
          </w:p>
        </w:tc>
      </w:tr>
      <w:tr w14:paraId="40B0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80" w:type="pct"/>
            <w:noWrap w:val="0"/>
            <w:vAlign w:val="center"/>
          </w:tcPr>
          <w:p w14:paraId="31037D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169" w:type="pct"/>
            <w:noWrap w:val="0"/>
            <w:vAlign w:val="center"/>
          </w:tcPr>
          <w:p w14:paraId="785F3B4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50岁（含）以上体检项目</w:t>
            </w:r>
          </w:p>
        </w:tc>
        <w:tc>
          <w:tcPr>
            <w:tcW w:w="907" w:type="pct"/>
            <w:noWrap w:val="0"/>
            <w:vAlign w:val="center"/>
          </w:tcPr>
          <w:p w14:paraId="54D91AEE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约170</w:t>
            </w:r>
          </w:p>
        </w:tc>
        <w:tc>
          <w:tcPr>
            <w:tcW w:w="938" w:type="pct"/>
            <w:noWrap w:val="0"/>
            <w:vAlign w:val="center"/>
          </w:tcPr>
          <w:p w14:paraId="3AAAC05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20ACE81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8BD173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CAB1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80" w:type="pct"/>
            <w:noWrap w:val="0"/>
            <w:vAlign w:val="center"/>
          </w:tcPr>
          <w:p w14:paraId="7BC1D76C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169" w:type="pct"/>
            <w:noWrap w:val="0"/>
            <w:vAlign w:val="center"/>
          </w:tcPr>
          <w:p w14:paraId="60EAF6B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40岁（含）-49岁体检项目</w:t>
            </w:r>
          </w:p>
        </w:tc>
        <w:tc>
          <w:tcPr>
            <w:tcW w:w="907" w:type="pct"/>
            <w:noWrap w:val="0"/>
            <w:vAlign w:val="center"/>
          </w:tcPr>
          <w:p w14:paraId="1A7E0828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约230</w:t>
            </w:r>
          </w:p>
        </w:tc>
        <w:tc>
          <w:tcPr>
            <w:tcW w:w="938" w:type="pct"/>
            <w:noWrap w:val="0"/>
            <w:vAlign w:val="center"/>
          </w:tcPr>
          <w:p w14:paraId="1E0239C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07717B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027D9F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43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80" w:type="pct"/>
            <w:noWrap w:val="0"/>
            <w:vAlign w:val="center"/>
          </w:tcPr>
          <w:p w14:paraId="4C4D825F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169" w:type="pct"/>
            <w:noWrap w:val="0"/>
            <w:vAlign w:val="center"/>
          </w:tcPr>
          <w:p w14:paraId="18491E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 xml:space="preserve">40岁以下体检项目  </w:t>
            </w:r>
          </w:p>
        </w:tc>
        <w:tc>
          <w:tcPr>
            <w:tcW w:w="907" w:type="pct"/>
            <w:noWrap w:val="0"/>
            <w:vAlign w:val="center"/>
          </w:tcPr>
          <w:p w14:paraId="4084666A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约300</w:t>
            </w:r>
          </w:p>
        </w:tc>
        <w:tc>
          <w:tcPr>
            <w:tcW w:w="938" w:type="pct"/>
            <w:noWrap w:val="0"/>
            <w:vAlign w:val="center"/>
          </w:tcPr>
          <w:p w14:paraId="014FB1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7ACF07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4A2F0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6C8D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96" w:type="pct"/>
            <w:gridSpan w:val="4"/>
            <w:noWrap w:val="0"/>
            <w:vAlign w:val="center"/>
          </w:tcPr>
          <w:p w14:paraId="599856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3类体检套餐（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总计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金额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/元）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：</w:t>
            </w:r>
            <w:bookmarkStart w:id="2" w:name="_GoBack"/>
            <w:bookmarkEnd w:id="2"/>
          </w:p>
        </w:tc>
        <w:tc>
          <w:tcPr>
            <w:tcW w:w="1124" w:type="pct"/>
            <w:noWrap w:val="0"/>
            <w:vAlign w:val="center"/>
          </w:tcPr>
          <w:p w14:paraId="102F0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43EC24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586B87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1F54CD3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6633BA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3365E702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lang w:val="en-US" w:eastAsia="zh-CN" w:bidi="ar-SA"/>
        </w:rPr>
        <w:t>3.以上三类套餐的合计金额应与开标一览表、磋商总报价中的报价金额一致；</w:t>
      </w:r>
    </w:p>
    <w:p w14:paraId="51618C0C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lang w:val="en-US" w:eastAsia="zh-CN" w:bidi="ar-SA"/>
        </w:rPr>
        <w:t>4.本项目以套餐单价金额签订合同，甲方按照最终实际体检人数及对应发票金额进行付款。</w:t>
      </w:r>
    </w:p>
    <w:p w14:paraId="099A7706">
      <w:pPr>
        <w:pStyle w:val="4"/>
        <w:rPr>
          <w:rFonts w:hint="eastAsia"/>
        </w:rPr>
      </w:pPr>
    </w:p>
    <w:p w14:paraId="1C95175D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796B1252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24B60A92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1ACDE2AA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22F55C22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3FA78EFA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450F37D3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DFAD9C5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677E73B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6604014D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5A0569B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0F7E57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308</Characters>
  <Lines>0</Lines>
  <Paragraphs>0</Paragraphs>
  <TotalTime>9</TotalTime>
  <ScaleCrop>false</ScaleCrop>
  <LinksUpToDate>false</LinksUpToDate>
  <CharactersWithSpaces>483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WPS_1560821689</cp:lastModifiedBy>
  <dcterms:modified xsi:type="dcterms:W3CDTF">2025-06-11T05:47:46Z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A7FD8787377045708511788DD334FAFB_13</vt:lpwstr>
  </property>
  <property fmtid="{D5CDD505-2E9C-101B-9397-08002B2CF9AE}" pid="4" name="KSOTemplateDocerSaveRecord">
    <vt:lpwstr>eyJoZGlkIjoiNGM2ZmYzNjVjZWFhNzA5YTU0MGJhOTU0ZDNkMDk5MTgiLCJ1c2VySWQiOiI1ODI5MjQzMDMifQ==</vt:lpwstr>
  </property>
</Properties>
</file>