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版本号：ZXCG-XA-2025-00920250618001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全自动血凝分析仪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ZXCG-XA-2025-009</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全自动血凝分析仪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ZXCG-XA-2025-009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全自动血凝分析仪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全自动凝血分析仪，1台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非法定代表人参加投标的，须提供法定代表人委托授权书、授权代表身份证、授权代表提供在投标单位缴纳的社保记录（近3个月内）；法定代表人参加投标时,只需提供法定代表人身份证。</w:t>
      </w:r>
    </w:p>
    <w:p>
      <w:pPr>
        <w:pStyle w:val="null3"/>
      </w:pPr>
      <w:r>
        <w:rPr>
          <w:rFonts w:ascii="仿宋_GB2312" w:hAnsi="仿宋_GB2312" w:cs="仿宋_GB2312" w:eastAsia="仿宋_GB2312"/>
        </w:rPr>
        <w:t>2、资质：投标人如为代理商的须提供《医疗器械经营许可证》(或《医疗器械经营备案凭证》)与制造商的《医疗器械生产许可证》(或《医疗器械生产备案凭证》)；投标人如为制造商的须提供《医疗器械生产许可证》或《医疗器械生产备案凭证》;投标产品属于医疗器械管理，需提供医疗器械注册证或备案凭证;投标产品为进口产品须提供产品制造厂商针对该产品完整的授权书。</w:t>
      </w:r>
    </w:p>
    <w:p>
      <w:pPr>
        <w:pStyle w:val="null3"/>
      </w:pPr>
      <w:r>
        <w:rPr>
          <w:rFonts w:ascii="仿宋_GB2312" w:hAnsi="仿宋_GB2312" w:cs="仿宋_GB2312" w:eastAsia="仿宋_GB2312"/>
        </w:rPr>
        <w:t>3、信用记录：投标人应在投标截止日前在信用中国（www.creditchina.gov.cn）未被列入失信被执行人、重大税收违法案件当事人名单和在中国政府采购网（www.ccgp.gov.cn）未被列入政府采购严重违法失信行为记录名单（处罚期限届满的除外，如相关失信记录已失效，投标人需提供相关证明资料）。</w:t>
      </w:r>
    </w:p>
    <w:p>
      <w:pPr>
        <w:pStyle w:val="null3"/>
      </w:pPr>
      <w:r>
        <w:rPr>
          <w:rFonts w:ascii="仿宋_GB2312" w:hAnsi="仿宋_GB2312" w:cs="仿宋_GB2312" w:eastAsia="仿宋_GB2312"/>
        </w:rPr>
        <w:t>4、承诺书：投标人提供非我站职工及其亲属投资举办的企业承诺书。</w:t>
      </w:r>
    </w:p>
    <w:p>
      <w:pPr>
        <w:pStyle w:val="null3"/>
      </w:pPr>
      <w:r>
        <w:rPr>
          <w:rFonts w:ascii="仿宋_GB2312" w:hAnsi="仿宋_GB2312" w:cs="仿宋_GB2312" w:eastAsia="仿宋_GB2312"/>
        </w:rPr>
        <w:t>5、质量保证：投标人提供质量保证承诺书。</w:t>
      </w:r>
    </w:p>
    <w:p>
      <w:pPr>
        <w:pStyle w:val="null3"/>
      </w:pPr>
      <w:r>
        <w:rPr>
          <w:rFonts w:ascii="仿宋_GB2312" w:hAnsi="仿宋_GB2312" w:cs="仿宋_GB2312" w:eastAsia="仿宋_GB2312"/>
        </w:rPr>
        <w:t>6、其它：投标人不得存在下列情形之一：①单位负责人为同一人或者存在直接控股、管理关系的不同投 标人，不得参加同一合同项下的政府采购活动；②为本项目提供整体设计、规范编制或者项目 管理、监理、检测等服务的投标人，不得再参加该采购项目的其他采购活动。</w:t>
      </w:r>
    </w:p>
    <w:p>
      <w:pPr>
        <w:pStyle w:val="null3"/>
      </w:pPr>
      <w:r>
        <w:rPr>
          <w:rFonts w:ascii="仿宋_GB2312" w:hAnsi="仿宋_GB2312" w:cs="仿宋_GB2312" w:eastAsia="仿宋_GB2312"/>
        </w:rPr>
        <w:t>7、联合体：投标人提供非联合体投标承诺书。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陕西省西安市未央区大明宫西荣民.中央国际10层1003室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17342379442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印发&lt;招标代理服务收费管理暂行办法&gt;的通知》（计价格[2002]1980号）和国家发展改革委员会办公厅颁发的《关于招标代理服务收费有关问题的通知》（发改办价格[2003] 857号）规定下浮10%收取,不足5000元按5000元计取。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联系人：王茜</w:t>
      </w:r>
    </w:p>
    <w:p>
      <w:pPr>
        <w:pStyle w:val="null3"/>
      </w:pPr>
      <w:r>
        <w:rPr>
          <w:rFonts w:ascii="仿宋_GB2312" w:hAnsi="仿宋_GB2312" w:cs="仿宋_GB2312" w:eastAsia="仿宋_GB2312"/>
        </w:rPr>
        <w:t>联系电话：17342379442</w:t>
      </w:r>
    </w:p>
    <w:p>
      <w:pPr>
        <w:pStyle w:val="null3"/>
      </w:pPr>
      <w:r>
        <w:rPr>
          <w:rFonts w:ascii="仿宋_GB2312" w:hAnsi="仿宋_GB2312" w:cs="仿宋_GB2312" w:eastAsia="仿宋_GB2312"/>
        </w:rPr>
        <w:t>地址：陕西省西安市未央区大明宫西荣民.中央国际10层1003室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全自动血凝分析仪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全自动血凝分析仪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标的名称：全自动血凝分析仪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采购内容（包括采购品目、规格和数量）</w:t>
            </w:r>
          </w:p>
          <w:p>
            <w:pPr>
              <w:pStyle w:val="null3"/>
              <w:ind w:firstLine="560"/>
              <w:jc w:val="both"/>
            </w:pPr>
            <w:r>
              <w:rPr>
                <w:rFonts w:ascii="仿宋_GB2312" w:hAnsi="仿宋_GB2312" w:cs="仿宋_GB2312" w:eastAsia="仿宋_GB2312"/>
                <w:sz w:val="28"/>
              </w:rPr>
              <w:t>名称：全自动凝血分析仪（进口）</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1</w:t>
            </w:r>
          </w:p>
          <w:p>
            <w:pPr>
              <w:pStyle w:val="null3"/>
              <w:spacing w:before="315"/>
              <w:ind w:left="420"/>
              <w:jc w:val="both"/>
            </w:pPr>
            <w:r>
              <w:rPr>
                <w:rFonts w:ascii="仿宋_GB2312" w:hAnsi="仿宋_GB2312" w:cs="仿宋_GB2312" w:eastAsia="仿宋_GB2312"/>
                <w:sz w:val="28"/>
                <w:b/>
              </w:rPr>
              <w:t>技术要求</w:t>
            </w:r>
          </w:p>
          <w:p>
            <w:pPr>
              <w:pStyle w:val="null3"/>
              <w:jc w:val="both"/>
            </w:pPr>
            <w:r>
              <w:rPr>
                <w:rFonts w:ascii="仿宋_GB2312" w:hAnsi="仿宋_GB2312" w:cs="仿宋_GB2312" w:eastAsia="仿宋_GB2312"/>
                <w:sz w:val="28"/>
              </w:rPr>
              <w:t>1、具备≥3种不同的方法学进行检测，且检测通道≥8个。</w:t>
            </w:r>
          </w:p>
          <w:p>
            <w:pPr>
              <w:pStyle w:val="null3"/>
              <w:jc w:val="both"/>
            </w:pPr>
            <w:r>
              <w:rPr>
                <w:rFonts w:ascii="仿宋_GB2312" w:hAnsi="仿宋_GB2312" w:cs="仿宋_GB2312" w:eastAsia="仿宋_GB2312"/>
                <w:sz w:val="28"/>
              </w:rPr>
              <w:t>2、检测针、样本针各自独立，样本针标配盖帽穿刺功能。</w:t>
            </w:r>
          </w:p>
          <w:p>
            <w:pPr>
              <w:pStyle w:val="null3"/>
              <w:jc w:val="both"/>
            </w:pPr>
            <w:r>
              <w:rPr>
                <w:rFonts w:ascii="仿宋_GB2312" w:hAnsi="仿宋_GB2312" w:cs="仿宋_GB2312" w:eastAsia="仿宋_GB2312"/>
                <w:sz w:val="28"/>
              </w:rPr>
              <w:t>3、具有新鲜冰冻血浆及冷沉淀等血液成分中Ⅷ因子和纤维蛋白原检测项目；实测纤维蛋白原须有PT演算和Clauss法。</w:t>
            </w:r>
          </w:p>
          <w:p>
            <w:pPr>
              <w:pStyle w:val="null3"/>
              <w:jc w:val="both"/>
            </w:pPr>
            <w:r>
              <w:rPr>
                <w:rFonts w:ascii="仿宋_GB2312" w:hAnsi="仿宋_GB2312" w:cs="仿宋_GB2312" w:eastAsia="仿宋_GB2312"/>
                <w:sz w:val="28"/>
              </w:rPr>
              <w:t>4、样品位≥50个，可连续循环进样。</w:t>
            </w:r>
          </w:p>
          <w:p>
            <w:pPr>
              <w:pStyle w:val="null3"/>
              <w:jc w:val="both"/>
            </w:pPr>
            <w:r>
              <w:rPr>
                <w:rFonts w:ascii="仿宋_GB2312" w:hAnsi="仿宋_GB2312" w:cs="仿宋_GB2312" w:eastAsia="仿宋_GB2312"/>
                <w:sz w:val="28"/>
              </w:rPr>
              <w:t>5、试剂位≥32个。其中试剂冷藏位≥28个，温度精度±2℃。</w:t>
            </w:r>
          </w:p>
          <w:p>
            <w:pPr>
              <w:pStyle w:val="null3"/>
              <w:jc w:val="both"/>
            </w:pPr>
            <w:r>
              <w:rPr>
                <w:rFonts w:ascii="仿宋_GB2312" w:hAnsi="仿宋_GB2312" w:cs="仿宋_GB2312" w:eastAsia="仿宋_GB2312"/>
                <w:sz w:val="28"/>
              </w:rPr>
              <w:t>6、支持开放试剂，试剂无需扫码即可使用。</w:t>
            </w:r>
          </w:p>
          <w:p>
            <w:pPr>
              <w:pStyle w:val="null3"/>
              <w:jc w:val="both"/>
            </w:pPr>
            <w:r>
              <w:rPr>
                <w:rFonts w:ascii="仿宋_GB2312" w:hAnsi="仿宋_GB2312" w:cs="仿宋_GB2312" w:eastAsia="仿宋_GB2312"/>
                <w:sz w:val="28"/>
              </w:rPr>
              <w:t>7、反应杯≥300个，单个独立无需磁珠及参比品，可连续装载。</w:t>
            </w:r>
          </w:p>
          <w:p>
            <w:pPr>
              <w:pStyle w:val="null3"/>
              <w:jc w:val="both"/>
            </w:pPr>
            <w:r>
              <w:rPr>
                <w:rFonts w:ascii="仿宋_GB2312" w:hAnsi="仿宋_GB2312" w:cs="仿宋_GB2312" w:eastAsia="仿宋_GB2312"/>
                <w:sz w:val="28"/>
              </w:rPr>
              <w:t>8、检测波长≥4种，可根据溶血、黄疸、脂血等监测结果自动调整检测波长。</w:t>
            </w:r>
          </w:p>
          <w:p>
            <w:pPr>
              <w:pStyle w:val="null3"/>
              <w:jc w:val="both"/>
            </w:pPr>
            <w:r>
              <w:rPr>
                <w:rFonts w:ascii="仿宋_GB2312" w:hAnsi="仿宋_GB2312" w:cs="仿宋_GB2312" w:eastAsia="仿宋_GB2312"/>
                <w:sz w:val="28"/>
              </w:rPr>
              <w:t>9、PT≥180测试/小时，PT/APTT/Fbg/D-D≥70测试/小时。</w:t>
            </w:r>
          </w:p>
          <w:p>
            <w:pPr>
              <w:pStyle w:val="null3"/>
              <w:jc w:val="both"/>
            </w:pPr>
            <w:r>
              <w:rPr>
                <w:rFonts w:ascii="仿宋_GB2312" w:hAnsi="仿宋_GB2312" w:cs="仿宋_GB2312" w:eastAsia="仿宋_GB2312"/>
                <w:sz w:val="28"/>
              </w:rPr>
              <w:t>10、全中文操作系统，可通过触摸显示屏操作，无需另外配置电脑主机。</w:t>
            </w:r>
          </w:p>
          <w:p>
            <w:pPr>
              <w:pStyle w:val="null3"/>
              <w:jc w:val="both"/>
            </w:pPr>
            <w:r>
              <w:rPr>
                <w:rFonts w:ascii="仿宋_GB2312" w:hAnsi="仿宋_GB2312" w:cs="仿宋_GB2312" w:eastAsia="仿宋_GB2312"/>
                <w:sz w:val="28"/>
              </w:rPr>
              <w:t>11、具有样本量检测功能。</w:t>
            </w:r>
          </w:p>
          <w:p>
            <w:pPr>
              <w:pStyle w:val="null3"/>
              <w:jc w:val="both"/>
            </w:pPr>
            <w:r>
              <w:rPr>
                <w:rFonts w:ascii="仿宋_GB2312" w:hAnsi="仿宋_GB2312" w:cs="仿宋_GB2312" w:eastAsia="仿宋_GB2312"/>
                <w:sz w:val="28"/>
              </w:rPr>
              <w:t>12、设备全自动操作，包含自动稀释、自动连锁筛选、自动再检、自动多点定标、自动开机、自动休眠、自动质控时间、自动数据保存功能。</w:t>
            </w:r>
          </w:p>
          <w:p>
            <w:pPr>
              <w:pStyle w:val="null3"/>
              <w:jc w:val="both"/>
            </w:pPr>
            <w:r>
              <w:rPr>
                <w:rFonts w:ascii="仿宋_GB2312" w:hAnsi="仿宋_GB2312" w:cs="仿宋_GB2312" w:eastAsia="仿宋_GB2312"/>
                <w:sz w:val="28"/>
              </w:rPr>
              <w:t>13、具有实时在线质控管理功能，提供室内质控和室间质评分析功能，同时实现设备运行状态实时监控和远程维护。</w:t>
            </w:r>
          </w:p>
          <w:p>
            <w:pPr>
              <w:pStyle w:val="null3"/>
              <w:jc w:val="both"/>
            </w:pPr>
            <w:r>
              <w:rPr>
                <w:rFonts w:ascii="仿宋_GB2312" w:hAnsi="仿宋_GB2312" w:cs="仿宋_GB2312" w:eastAsia="仿宋_GB2312"/>
                <w:sz w:val="28"/>
              </w:rPr>
              <w:t>14、须提供原厂配套的可溯源校准品，溯源需有相关证明。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设备安装、验收、使用科室确认合格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整机质保期≥3年，终身维护。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本合同在履行过程中发生争议时，采购人及中标供应商双方应及时协商解决，协商或调解不成时，通过仲裁或诉讼解决。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按项目合同内容执行。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2.提供2024年1月至今已缴纳的至少一个月的纳税证明或完税证明（任意税种），依法免税的单位应提供相关证明材料。 3.提供2024年1月至今已缴纳的至少一个月的社会保障资金缴存凭证或社保机构开具的社会保险参保证明，依法不需要缴纳社会保障资金的单位应提供相关证明材料。 4.提供具有履行合同所必需的设备和专业技术能力的承诺声明。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2023年度或者2024年度财务报告（成立时间至投标文件递交截止时间不足一年的可提供成立后任意时段的资产负债表）或投标文件递交截止时间前六个月内其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 其他资料.docx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非法定代表人参加投标的，须提供法定代表人委托授权书、授权代表身份证、授权代表提供在投标单位缴纳的社保记录（近3个月内）；法定代表人参加投标时,只需提供法定代表人身份证。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如为代理商的须提供《医疗器械经营许可证》(或《医疗器械经营备案凭证》)与制造商的《医疗器械生产许可证》(或《医疗器械生产备案凭证》)；投标人如为制造商的须提供《医疗器械生产许可证》或《医疗器械生产备案凭证》;投标产品属于医疗器械管理，需提供医疗器械注册证或备案凭证;投标产品为进口产品须提供产品制造厂商针对该产品完整的授权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应在投标截止日前在信用中国（www.creditchina.gov.cn）未被列入失信被执行人、重大税收违法案件当事人名单和在中国政府采购网（www.ccgp.gov.cn）未被列入政府采购严重违法失信行为记录名单（处罚期限届满的除外，如相关失信记录已失效，投标人需提供相关证明资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投标人提供非我站职工及其亲属投资举办的企业承诺书。</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质量保证</w:t>
            </w:r>
          </w:p>
        </w:tc>
        <w:tc>
          <w:tcPr>
            <w:tcW w:type="dxa" w:w="3322"/>
          </w:tcPr>
          <w:p>
            <w:pPr>
              <w:pStyle w:val="null3"/>
            </w:pPr>
            <w:r>
              <w:rPr>
                <w:rFonts w:ascii="仿宋_GB2312" w:hAnsi="仿宋_GB2312" w:cs="仿宋_GB2312" w:eastAsia="仿宋_GB2312"/>
              </w:rPr>
              <w:t>投标人提供质量保证承诺书。</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投标人不得存在下列情形之一：①单位负责人为同一人或者存在直接控股、管理关系的不同投 标人，不得参加同一合同项下的政府采购活动；②为本项目提供整体设计、规范编制或者项目 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投标人提供非联合体投标承诺书。</w:t>
            </w:r>
          </w:p>
        </w:tc>
        <w:tc>
          <w:tcPr>
            <w:tcW w:type="dxa" w:w="1661"/>
          </w:tcPr>
          <w:p>
            <w:pPr>
              <w:pStyle w:val="null3"/>
            </w:pPr>
            <w:r>
              <w:rPr>
                <w:rFonts w:ascii="仿宋_GB2312" w:hAnsi="仿宋_GB2312" w:cs="仿宋_GB2312" w:eastAsia="仿宋_GB2312"/>
              </w:rPr>
              <w:t>投标人资格证明文件.docx 其他资料.docx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中小企业声明函 残疾人福利性单位声明函 标的清单 其他资料.docx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投标文件应包含以下部分：（1）投标函 （2）开标一览表和标的清单 （3）产品技术参数表 （4）商务应答表（5）投标方案 （6）资格证明文件 （7）投标人承诺书（8）其他资料</w:t>
            </w:r>
          </w:p>
        </w:tc>
        <w:tc>
          <w:tcPr>
            <w:tcW w:type="dxa" w:w="1661"/>
          </w:tcPr>
          <w:p>
            <w:pPr>
              <w:pStyle w:val="null3"/>
            </w:pPr>
            <w:r>
              <w:rPr>
                <w:rFonts w:ascii="仿宋_GB2312" w:hAnsi="仿宋_GB2312" w:cs="仿宋_GB2312" w:eastAsia="仿宋_GB2312"/>
              </w:rPr>
              <w:t>开标一览表 投标方案.docx 产品技术参数表 投标函 商务应答表 标的清单 投标人资格证明文件.docx 其他资料.docx 投标人承诺书.docx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符合招标文件要求，不能有采购人不能接受的附加条件。</w:t>
            </w:r>
          </w:p>
        </w:tc>
        <w:tc>
          <w:tcPr>
            <w:tcW w:type="dxa" w:w="1661"/>
          </w:tcPr>
          <w:p>
            <w:pPr>
              <w:pStyle w:val="null3"/>
            </w:pPr>
            <w:r>
              <w:rPr>
                <w:rFonts w:ascii="仿宋_GB2312" w:hAnsi="仿宋_GB2312" w:cs="仿宋_GB2312" w:eastAsia="仿宋_GB2312"/>
              </w:rPr>
              <w:t>商务应答表 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要求完全符合、满足招标文件技术要求的，计28分。每有一项负偏离扣2分，扣完为止。评审标准：根据投标人提供相应的产品检测报告或技术说明或产品彩页或官网功能截图等作为证明材料，未提供或所提供材料模糊不清或所提供材料无法有效证明的将视为不满足本参数要求。</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提供所投产品品牌与配置清单；设备配置先进、选型科学合理；设备配置完整性、性能稳定性、兼容性、行业使用广泛性等方面描述（供应商须提供证明材料，包括但不限于所投产品临床使用优势、市场销售情况等）。 （1）设备选型方案详细、科学合理、可行性很强、完全满足采购人需求且有利于项目实施得5分； （2）设备选型方案描述简单、较科学合理、可行性一般、满足采购人需求得3分； （3）设备选型方案有缺漏项、可行性一般得1分；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投标人针对本项目提出具体的实施方案，方案内容包含：①技术方案；②质量保证措施；③组织实施方案；④供货方案；⑤验收方案；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三、赋分依据（满分15分） 上述5项评审内容全部满足评审标准得15分；每有一个评审内容缺项扣3分，扣完为止；每有一项评审内容存在缺陷，扣（0-2.9）分。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在满足整机质保期3年的基础上，每延长1年增加1分，最多2分。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提供2022年5月1日至投标文件递交截止时间同类产品业绩（以合同签订时间为准），1份业绩得2分，业绩满分4分（提供完整的合同复印件加盖单位公章）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投标人针对本项目提出具体的售后服务方案，方案内容包含：①售后服务保障体系；②售后服务人员组织；③备品、备件供应计划；④设备（产品）发生故障后的补救措施。 二、评审标准 1、完整性：方案须全面，对评审内容中的各项要求有详细描述； 2、可实施性：切合本项目实际情况，实施步骤清晰、合理； 3、针对性：方案能够紧扣本项目所采购设备种类等实际情况，内容科学合理。 三、赋分依据（满分10分） 上述4项评审内容全部满足评审标准得10分；每有一个评审内容缺项扣2.5分，扣完为止；每有一项评审内容存在缺陷，扣（0-2.4）分。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投标人针对本项目提出具体的培训方案，方案内容包含：①培训内容；②培训人员及时间安排；③培训结果考核；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上述3项评审内容全部满足评审标准得6分；每有一个评审内容缺项扣2分，扣完为止；每有一项评审内容存在缺陷，扣（0-1.9）分。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 注：投标人符合小型、微型企业或监狱企业、残疾人福利性单位条件的，按“投标总报价×10%”进行扣减，用扣除后的价格参与评审。详见政策性扣减说明。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