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版本号：SXHT2025-ZC-GK100220250609001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黑河水源地厚畛子水质自动监测子站及配套设施建设（监测仪器设备购置）项目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SXHT2025-ZC-GK1002</w:t>
      </w:r>
      <w:r>
        <w:br/>
      </w:r>
      <w:r>
        <w:br/>
      </w:r>
      <w:r>
        <w:br/>
      </w:r>
    </w:p>
    <w:p>
      <w:pPr>
        <w:pStyle w:val="null3"/>
        <w:jc w:val="center"/>
        <w:outlineLvl w:val="2"/>
      </w:pPr>
      <w:r>
        <w:rPr>
          <w:rFonts w:ascii="仿宋_GB2312" w:hAnsi="仿宋_GB2312" w:cs="仿宋_GB2312" w:eastAsia="仿宋_GB2312"/>
          <w:sz w:val="28"/>
          <w:b/>
        </w:rPr>
        <w:t>西安市黑河水源地环境保护管理总站</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西安市黑河水源地环境保护管理总站</w:t>
      </w:r>
      <w:r>
        <w:rPr>
          <w:rFonts w:ascii="仿宋_GB2312" w:hAnsi="仿宋_GB2312" w:cs="仿宋_GB2312" w:eastAsia="仿宋_GB2312"/>
        </w:rPr>
        <w:t>委托，拟对</w:t>
      </w:r>
      <w:r>
        <w:rPr>
          <w:rFonts w:ascii="仿宋_GB2312" w:hAnsi="仿宋_GB2312" w:cs="仿宋_GB2312" w:eastAsia="仿宋_GB2312"/>
        </w:rPr>
        <w:t>黑河水源地厚畛子水质自动监测子站及配套设施建设（监测仪器设备购置）项目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SXHT2025-ZC-GK1002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黑河水源地厚畛子水质自动监测子站及配套设施建设（监测仪器设备购置）项目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黑河发源于秦岭主峰太白山，全长125.8公里，保护区面积1481平方公里，保护区内流域面积大于10平方公里的河流37条。黑河每年向西安市供水约4.2亿吨，供水占比超过76%，是西安市经济社会发展的生命线。黑河水源地厚畛子水质自动监测子站及配套设施建设（监测仪器设备购置）项目地点位于周至县厚畛子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采购包1（黑河水源地厚畛子水质自动监测子站及配套设施建设（监测仪器设备购置）项目）：属于专门面向中小企业采购。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西安市黑河水源地环境保护管理总站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西安市周至县马召镇武家庄村金盆水库大坝交通桥西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029-85108510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申晶、林锡之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 招标代理服务费交纳信息： 银行户名：陕西蒿天项目管理有限公司 开户银行：中国建设银行股份有限公司西安锦园新世纪支行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西安市黑河水源地环境保护管理总站</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西安市黑河水源地环境保护管理总站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西安市黑河水源地环境保护管理总站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联系人：申晶、林锡之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黑河发源于秦岭主峰太白山，全长125.8公里，保护区面积1481平方公里，保护区内流域面积大于10平方公里的河流37条。黑河每年向西安市供水约4.2亿吨，供水占比超过76%，是西安市经济社会发展的生命线。黑河水源地厚畛子水质自动监测子站及配套设施建设（监测仪器设备购置）项目地点位于周至县厚畛子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1,262,300.00</w:t>
      </w:r>
    </w:p>
    <w:p>
      <w:pPr>
        <w:pStyle w:val="null3"/>
      </w:pPr>
      <w:r>
        <w:rPr>
          <w:rFonts w:ascii="仿宋_GB2312" w:hAnsi="仿宋_GB2312" w:cs="仿宋_GB2312" w:eastAsia="仿宋_GB2312"/>
        </w:rPr>
        <w:t>采购包最高限价（元）: 1,262,300.00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1262300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1,262,300.00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标的名称：1262300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sz w:val="19"/>
                    </w:rPr>
                    <w:t>设备名称</w:t>
                  </w:r>
                </w:p>
              </w:tc>
              <w:tc>
                <w:tcPr>
                  <w:tcW w:type="dxa" w:w="1095"/>
                  <w:gridSpan w:val="3"/>
                </w:tcPr>
                <w:p>
                  <w:pPr>
                    <w:pStyle w:val="null3"/>
                  </w:pPr>
                  <w:r>
                    <w:rPr>
                      <w:rFonts w:ascii="仿宋_GB2312" w:hAnsi="仿宋_GB2312" w:cs="仿宋_GB2312" w:eastAsia="仿宋_GB2312"/>
                      <w:sz w:val="19"/>
                    </w:rPr>
                    <w:t>技术要求</w:t>
                  </w:r>
                </w:p>
              </w:tc>
              <w:tc>
                <w:tcPr>
                  <w:tcW w:type="dxa" w:w="365"/>
                </w:tcPr>
                <w:p>
                  <w:pPr>
                    <w:pStyle w:val="null3"/>
                  </w:pPr>
                  <w:r>
                    <w:rPr>
                      <w:rFonts w:ascii="仿宋_GB2312" w:hAnsi="仿宋_GB2312" w:cs="仿宋_GB2312" w:eastAsia="仿宋_GB2312"/>
                      <w:sz w:val="19"/>
                    </w:rPr>
                    <w:t>数量</w:t>
                  </w:r>
                </w:p>
              </w:tc>
              <w:tc>
                <w:tcPr>
                  <w:tcW w:type="dxa" w:w="365"/>
                </w:tcPr>
                <w:p>
                  <w:pPr>
                    <w:pStyle w:val="null3"/>
                  </w:pPr>
                  <w:r>
                    <w:rPr>
                      <w:rFonts w:ascii="仿宋_GB2312" w:hAnsi="仿宋_GB2312" w:cs="仿宋_GB2312" w:eastAsia="仿宋_GB2312"/>
                      <w:sz w:val="19"/>
                    </w:rPr>
                    <w:t>单位</w:t>
                  </w:r>
                </w:p>
              </w:tc>
              <w:tc>
                <w:tcPr>
                  <w:tcW w:type="dxa" w:w="365"/>
                </w:tcPr>
                <w:p>
                  <w:pPr>
                    <w:pStyle w:val="null3"/>
                  </w:pPr>
                  <w:r>
                    <w:rPr>
                      <w:rFonts w:ascii="仿宋_GB2312" w:hAnsi="仿宋_GB2312" w:cs="仿宋_GB2312" w:eastAsia="仿宋_GB2312"/>
                      <w:sz w:val="19"/>
                    </w:rPr>
                    <w:t>备注</w:t>
                  </w:r>
                </w:p>
              </w:tc>
            </w:tr>
            <w:tr>
              <w:tc>
                <w:tcPr>
                  <w:tcW w:type="dxa" w:w="365"/>
                  <w:vMerge w:val="restart"/>
                </w:tcPr>
                <w:p>
                  <w:pPr>
                    <w:pStyle w:val="null3"/>
                  </w:pPr>
                  <w:r>
                    <w:rPr>
                      <w:rFonts w:ascii="仿宋_GB2312" w:hAnsi="仿宋_GB2312" w:cs="仿宋_GB2312" w:eastAsia="仿宋_GB2312"/>
                      <w:sz w:val="19"/>
                    </w:rPr>
                    <w:t>水质自动监测设备</w:t>
                  </w:r>
                </w:p>
              </w:tc>
              <w:tc>
                <w:tcPr>
                  <w:tcW w:type="dxa" w:w="730"/>
                  <w:gridSpan w:val="2"/>
                </w:tcPr>
                <w:p>
                  <w:pPr>
                    <w:pStyle w:val="null3"/>
                  </w:pPr>
                  <w:r>
                    <w:rPr>
                      <w:rFonts w:ascii="仿宋_GB2312" w:hAnsi="仿宋_GB2312" w:cs="仿宋_GB2312" w:eastAsia="仿宋_GB2312"/>
                      <w:sz w:val="19"/>
                    </w:rPr>
                    <w:t>监测参数</w:t>
                  </w:r>
                </w:p>
              </w:tc>
              <w:tc>
                <w:tcPr>
                  <w:tcW w:type="dxa" w:w="365"/>
                </w:tcPr>
                <w:p>
                  <w:pPr>
                    <w:pStyle w:val="null3"/>
                  </w:pPr>
                  <w:r>
                    <w:rPr>
                      <w:rFonts w:ascii="仿宋_GB2312" w:hAnsi="仿宋_GB2312" w:cs="仿宋_GB2312" w:eastAsia="仿宋_GB2312"/>
                      <w:sz w:val="19"/>
                    </w:rPr>
                    <w:t>水温、PH、电导率、溶解氧、浊度，COD，BOD，高锰酸盐指数，氨氮，总磷，总氮</w:t>
                  </w:r>
                </w:p>
              </w:tc>
              <w:tc>
                <w:tcPr>
                  <w:tcW w:type="dxa" w:w="1095"/>
                  <w:gridSpan w:val="3"/>
                </w:tcPr>
                <w:p>
                  <w:pPr>
                    <w:pStyle w:val="null3"/>
                  </w:pPr>
                  <w:r>
                    <w:rPr>
                      <w:rFonts w:ascii="仿宋_GB2312" w:hAnsi="仿宋_GB2312" w:cs="仿宋_GB2312" w:eastAsia="仿宋_GB2312"/>
                      <w:sz w:val="19"/>
                    </w:rPr>
                    <w:t>/</w:t>
                  </w:r>
                </w:p>
              </w:tc>
            </w:tr>
            <w:tr>
              <w:tc>
                <w:tcPr>
                  <w:tcW w:type="dxa" w:w="365"/>
                  <w:vMerge/>
                </w:tcPr>
                <w:p/>
              </w:tc>
              <w:tc>
                <w:tcPr>
                  <w:tcW w:type="dxa" w:w="365"/>
                  <w:vMerge w:val="restart"/>
                </w:tcPr>
                <w:p>
                  <w:pPr>
                    <w:pStyle w:val="null3"/>
                  </w:pPr>
                  <w:r>
                    <w:rPr>
                      <w:rFonts w:ascii="仿宋_GB2312" w:hAnsi="仿宋_GB2312" w:cs="仿宋_GB2312" w:eastAsia="仿宋_GB2312"/>
                      <w:sz w:val="19"/>
                    </w:rPr>
                    <w:t>监测单元</w:t>
                  </w:r>
                </w:p>
              </w:tc>
              <w:tc>
                <w:tcPr>
                  <w:tcW w:type="dxa" w:w="365"/>
                </w:tcPr>
                <w:p>
                  <w:pPr>
                    <w:pStyle w:val="null3"/>
                  </w:pPr>
                  <w:r>
                    <w:rPr>
                      <w:rFonts w:ascii="仿宋_GB2312" w:hAnsi="仿宋_GB2312" w:cs="仿宋_GB2312" w:eastAsia="仿宋_GB2312"/>
                      <w:sz w:val="19"/>
                    </w:rPr>
                    <w:t>水温</w:t>
                  </w:r>
                </w:p>
              </w:tc>
              <w:tc>
                <w:tcPr>
                  <w:tcW w:type="dxa" w:w="365"/>
                </w:tcPr>
                <w:p>
                  <w:pPr>
                    <w:pStyle w:val="null3"/>
                  </w:pPr>
                  <w:r>
                    <w:rPr>
                      <w:rFonts w:ascii="仿宋_GB2312" w:hAnsi="仿宋_GB2312" w:cs="仿宋_GB2312" w:eastAsia="仿宋_GB2312"/>
                      <w:sz w:val="19"/>
                    </w:rPr>
                    <w:t>测定原理：热电阻或热电偶</w:t>
                  </w:r>
                </w:p>
                <w:p>
                  <w:pPr>
                    <w:pStyle w:val="null3"/>
                  </w:pPr>
                  <w:r>
                    <w:rPr>
                      <w:rFonts w:ascii="仿宋_GB2312" w:hAnsi="仿宋_GB2312" w:cs="仿宋_GB2312" w:eastAsia="仿宋_GB2312"/>
                      <w:sz w:val="19"/>
                    </w:rPr>
                    <w:t>量程：0℃～60 ℃，可调</w:t>
                  </w:r>
                </w:p>
                <w:p>
                  <w:pPr>
                    <w:pStyle w:val="null3"/>
                  </w:pPr>
                  <w:r>
                    <w:rPr>
                      <w:rFonts w:ascii="仿宋_GB2312" w:hAnsi="仿宋_GB2312" w:cs="仿宋_GB2312" w:eastAsia="仿宋_GB2312"/>
                      <w:sz w:val="19"/>
                    </w:rPr>
                    <w:t>准确度：±0.5 ℃</w:t>
                  </w:r>
                </w:p>
                <w:p>
                  <w:pPr>
                    <w:pStyle w:val="null3"/>
                  </w:pPr>
                  <w:r>
                    <w:rPr>
                      <w:rFonts w:ascii="仿宋_GB2312" w:hAnsi="仿宋_GB2312" w:cs="仿宋_GB2312" w:eastAsia="仿宋_GB2312"/>
                      <w:sz w:val="19"/>
                    </w:rPr>
                    <w:t>平均无故障运行时间：≥720 h/次</w:t>
                  </w:r>
                </w:p>
              </w:tc>
              <w:tc>
                <w:tcPr>
                  <w:tcW w:type="dxa" w:w="365"/>
                  <w:vMerge w:val="restart"/>
                </w:tcPr>
                <w:p>
                  <w:pPr>
                    <w:pStyle w:val="null3"/>
                  </w:pPr>
                  <w:r>
                    <w:rPr>
                      <w:rFonts w:ascii="仿宋_GB2312" w:hAnsi="仿宋_GB2312" w:cs="仿宋_GB2312" w:eastAsia="仿宋_GB2312"/>
                      <w:sz w:val="19"/>
                    </w:rPr>
                    <w:t>1</w:t>
                  </w:r>
                </w:p>
              </w:tc>
              <w:tc>
                <w:tcPr>
                  <w:tcW w:type="dxa" w:w="365"/>
                  <w:vMerge w:val="restart"/>
                </w:tcPr>
                <w:p>
                  <w:pPr>
                    <w:pStyle w:val="null3"/>
                  </w:pPr>
                  <w:r>
                    <w:rPr>
                      <w:rFonts w:ascii="仿宋_GB2312" w:hAnsi="仿宋_GB2312" w:cs="仿宋_GB2312" w:eastAsia="仿宋_GB2312"/>
                      <w:sz w:val="19"/>
                    </w:rPr>
                    <w:t>套</w:t>
                  </w:r>
                </w:p>
              </w:tc>
              <w:tc>
                <w:tcPr>
                  <w:tcW w:type="dxa" w:w="365"/>
                  <w:vMerge w:val="restart"/>
                </w:tcPr>
                <w:p>
                  <w:pPr>
                    <w:pStyle w:val="null3"/>
                  </w:pPr>
                  <w:r>
                    <w:rPr>
                      <w:rFonts w:ascii="仿宋_GB2312" w:hAnsi="仿宋_GB2312" w:cs="仿宋_GB2312" w:eastAsia="仿宋_GB2312"/>
                      <w:sz w:val="19"/>
                    </w:rPr>
                    <w:t xml:space="preserve"> </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pH</w:t>
                  </w:r>
                </w:p>
              </w:tc>
              <w:tc>
                <w:tcPr>
                  <w:tcW w:type="dxa" w:w="365"/>
                </w:tcPr>
                <w:p>
                  <w:pPr>
                    <w:pStyle w:val="null3"/>
                  </w:pPr>
                  <w:r>
                    <w:rPr>
                      <w:rFonts w:ascii="仿宋_GB2312" w:hAnsi="仿宋_GB2312" w:cs="仿宋_GB2312" w:eastAsia="仿宋_GB2312"/>
                      <w:sz w:val="19"/>
                    </w:rPr>
                    <w:t>测定原理：玻璃电极法</w:t>
                  </w:r>
                </w:p>
                <w:p>
                  <w:pPr>
                    <w:pStyle w:val="null3"/>
                  </w:pPr>
                  <w:r>
                    <w:rPr>
                      <w:rFonts w:ascii="仿宋_GB2312" w:hAnsi="仿宋_GB2312" w:cs="仿宋_GB2312" w:eastAsia="仿宋_GB2312"/>
                      <w:sz w:val="19"/>
                    </w:rPr>
                    <w:t>量程：pH 0～14 （0～40 ℃），可调</w:t>
                  </w:r>
                </w:p>
                <w:p>
                  <w:pPr>
                    <w:pStyle w:val="null3"/>
                  </w:pPr>
                  <w:r>
                    <w:rPr>
                      <w:rFonts w:ascii="仿宋_GB2312" w:hAnsi="仿宋_GB2312" w:cs="仿宋_GB2312" w:eastAsia="仿宋_GB2312"/>
                      <w:sz w:val="19"/>
                    </w:rPr>
                    <w:t>漂移（pH=4、7、9）：±0.1 pH</w:t>
                  </w:r>
                </w:p>
                <w:p>
                  <w:pPr>
                    <w:pStyle w:val="null3"/>
                  </w:pPr>
                  <w:r>
                    <w:rPr>
                      <w:rFonts w:ascii="仿宋_GB2312" w:hAnsi="仿宋_GB2312" w:cs="仿宋_GB2312" w:eastAsia="仿宋_GB2312"/>
                      <w:sz w:val="19"/>
                    </w:rPr>
                    <w:t>重复性：±0.1 pH</w:t>
                  </w:r>
                </w:p>
                <w:p>
                  <w:pPr>
                    <w:pStyle w:val="null3"/>
                  </w:pPr>
                  <w:r>
                    <w:rPr>
                      <w:rFonts w:ascii="仿宋_GB2312" w:hAnsi="仿宋_GB2312" w:cs="仿宋_GB2312" w:eastAsia="仿宋_GB2312"/>
                      <w:sz w:val="19"/>
                    </w:rPr>
                    <w:t>响应时间：≤30 s</w:t>
                  </w:r>
                </w:p>
                <w:p>
                  <w:pPr>
                    <w:pStyle w:val="null3"/>
                  </w:pPr>
                  <w:r>
                    <w:rPr>
                      <w:rFonts w:ascii="仿宋_GB2312" w:hAnsi="仿宋_GB2312" w:cs="仿宋_GB2312" w:eastAsia="仿宋_GB2312"/>
                      <w:sz w:val="19"/>
                    </w:rPr>
                    <w:t>温度补偿精度：±0.1 pH</w:t>
                  </w:r>
                </w:p>
                <w:p>
                  <w:pPr>
                    <w:pStyle w:val="null3"/>
                  </w:pPr>
                  <w:r>
                    <w:rPr>
                      <w:rFonts w:ascii="仿宋_GB2312" w:hAnsi="仿宋_GB2312" w:cs="仿宋_GB2312" w:eastAsia="仿宋_GB2312"/>
                      <w:sz w:val="19"/>
                    </w:rPr>
                    <w:t>平均无故障运行时间：≥720 h/次</w:t>
                  </w:r>
                </w:p>
                <w:p>
                  <w:pPr>
                    <w:pStyle w:val="null3"/>
                  </w:pPr>
                  <w:r>
                    <w:rPr>
                      <w:rFonts w:ascii="仿宋_GB2312" w:hAnsi="仿宋_GB2312" w:cs="仿宋_GB2312" w:eastAsia="仿宋_GB2312"/>
                      <w:sz w:val="19"/>
                    </w:rPr>
                    <w:t>实际水样比对试验：±0.1 pH</w:t>
                  </w:r>
                </w:p>
                <w:p>
                  <w:pPr>
                    <w:pStyle w:val="null3"/>
                  </w:pPr>
                  <w:r>
                    <w:rPr>
                      <w:rFonts w:ascii="仿宋_GB2312" w:hAnsi="仿宋_GB2312" w:cs="仿宋_GB2312" w:eastAsia="仿宋_GB2312"/>
                      <w:sz w:val="19"/>
                    </w:rPr>
                    <w:t>防护等级：≥IP65</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电导率</w:t>
                  </w:r>
                </w:p>
              </w:tc>
              <w:tc>
                <w:tcPr>
                  <w:tcW w:type="dxa" w:w="365"/>
                </w:tcPr>
                <w:p>
                  <w:pPr>
                    <w:pStyle w:val="null3"/>
                  </w:pPr>
                  <w:r>
                    <w:rPr>
                      <w:rFonts w:ascii="仿宋_GB2312" w:hAnsi="仿宋_GB2312" w:cs="仿宋_GB2312" w:eastAsia="仿宋_GB2312"/>
                      <w:sz w:val="19"/>
                    </w:rPr>
                    <w:t>测定原理：电极法</w:t>
                  </w:r>
                </w:p>
                <w:p>
                  <w:pPr>
                    <w:pStyle w:val="null3"/>
                  </w:pPr>
                  <w:r>
                    <w:rPr>
                      <w:rFonts w:ascii="仿宋_GB2312" w:hAnsi="仿宋_GB2312" w:cs="仿宋_GB2312" w:eastAsia="仿宋_GB2312"/>
                      <w:sz w:val="19"/>
                    </w:rPr>
                    <w:t>最小检测范围：0～500 mS/m（0～40℃），可调</w:t>
                  </w:r>
                </w:p>
                <w:p>
                  <w:pPr>
                    <w:pStyle w:val="null3"/>
                  </w:pPr>
                  <w:r>
                    <w:rPr>
                      <w:rFonts w:ascii="仿宋_GB2312" w:hAnsi="仿宋_GB2312" w:cs="仿宋_GB2312" w:eastAsia="仿宋_GB2312"/>
                      <w:sz w:val="19"/>
                    </w:rPr>
                    <w:t>重复性误差：±1%</w:t>
                  </w:r>
                </w:p>
                <w:p>
                  <w:pPr>
                    <w:pStyle w:val="null3"/>
                  </w:pPr>
                  <w:r>
                    <w:rPr>
                      <w:rFonts w:ascii="仿宋_GB2312" w:hAnsi="仿宋_GB2312" w:cs="仿宋_GB2312" w:eastAsia="仿宋_GB2312"/>
                      <w:sz w:val="19"/>
                    </w:rPr>
                    <w:t>零点漂移：±1%</w:t>
                  </w:r>
                </w:p>
                <w:p>
                  <w:pPr>
                    <w:pStyle w:val="null3"/>
                  </w:pPr>
                  <w:r>
                    <w:rPr>
                      <w:rFonts w:ascii="仿宋_GB2312" w:hAnsi="仿宋_GB2312" w:cs="仿宋_GB2312" w:eastAsia="仿宋_GB2312"/>
                      <w:sz w:val="19"/>
                    </w:rPr>
                    <w:t>量程漂移：±1%</w:t>
                  </w:r>
                </w:p>
                <w:p>
                  <w:pPr>
                    <w:pStyle w:val="null3"/>
                  </w:pPr>
                  <w:r>
                    <w:rPr>
                      <w:rFonts w:ascii="仿宋_GB2312" w:hAnsi="仿宋_GB2312" w:cs="仿宋_GB2312" w:eastAsia="仿宋_GB2312"/>
                      <w:sz w:val="19"/>
                    </w:rPr>
                    <w:t>响应时间（T90）：≤30s</w:t>
                  </w:r>
                </w:p>
                <w:p>
                  <w:pPr>
                    <w:pStyle w:val="null3"/>
                  </w:pPr>
                  <w:r>
                    <w:rPr>
                      <w:rFonts w:ascii="仿宋_GB2312" w:hAnsi="仿宋_GB2312" w:cs="仿宋_GB2312" w:eastAsia="仿宋_GB2312"/>
                      <w:sz w:val="19"/>
                    </w:rPr>
                    <w:t>温度补偿精度：±1%</w:t>
                  </w:r>
                </w:p>
                <w:p>
                  <w:pPr>
                    <w:pStyle w:val="null3"/>
                  </w:pPr>
                  <w:r>
                    <w:rPr>
                      <w:rFonts w:ascii="仿宋_GB2312" w:hAnsi="仿宋_GB2312" w:cs="仿宋_GB2312" w:eastAsia="仿宋_GB2312"/>
                      <w:sz w:val="19"/>
                    </w:rPr>
                    <w:t>平均无故障运行时间：≥720h/次</w:t>
                  </w:r>
                </w:p>
                <w:p>
                  <w:pPr>
                    <w:pStyle w:val="null3"/>
                  </w:pPr>
                  <w:r>
                    <w:rPr>
                      <w:rFonts w:ascii="仿宋_GB2312" w:hAnsi="仿宋_GB2312" w:cs="仿宋_GB2312" w:eastAsia="仿宋_GB2312"/>
                      <w:sz w:val="19"/>
                    </w:rPr>
                    <w:t>实际水样比对试验：±1%</w:t>
                  </w:r>
                </w:p>
                <w:p>
                  <w:pPr>
                    <w:pStyle w:val="null3"/>
                  </w:pPr>
                  <w:r>
                    <w:rPr>
                      <w:rFonts w:ascii="仿宋_GB2312" w:hAnsi="仿宋_GB2312" w:cs="仿宋_GB2312" w:eastAsia="仿宋_GB2312"/>
                      <w:sz w:val="19"/>
                    </w:rPr>
                    <w:t>防护等级：≥IP65</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溶解氧</w:t>
                  </w:r>
                </w:p>
              </w:tc>
              <w:tc>
                <w:tcPr>
                  <w:tcW w:type="dxa" w:w="365"/>
                </w:tcPr>
                <w:p>
                  <w:pPr>
                    <w:pStyle w:val="null3"/>
                  </w:pPr>
                  <w:r>
                    <w:rPr>
                      <w:rFonts w:ascii="仿宋_GB2312" w:hAnsi="仿宋_GB2312" w:cs="仿宋_GB2312" w:eastAsia="仿宋_GB2312"/>
                      <w:sz w:val="19"/>
                    </w:rPr>
                    <w:t>测定原理：电化学法、荧光法</w:t>
                  </w:r>
                </w:p>
                <w:p>
                  <w:pPr>
                    <w:pStyle w:val="null3"/>
                  </w:pPr>
                  <w:r>
                    <w:rPr>
                      <w:rFonts w:ascii="仿宋_GB2312" w:hAnsi="仿宋_GB2312" w:cs="仿宋_GB2312" w:eastAsia="仿宋_GB2312"/>
                      <w:sz w:val="19"/>
                    </w:rPr>
                    <w:t>量程：0～20 mg/L，可调</w:t>
                  </w:r>
                </w:p>
                <w:p>
                  <w:pPr>
                    <w:pStyle w:val="null3"/>
                  </w:pPr>
                  <w:r>
                    <w:rPr>
                      <w:rFonts w:ascii="仿宋_GB2312" w:hAnsi="仿宋_GB2312" w:cs="仿宋_GB2312" w:eastAsia="仿宋_GB2312"/>
                      <w:sz w:val="19"/>
                    </w:rPr>
                    <w:t>零点漂移：±0.3 mg/L</w:t>
                  </w:r>
                </w:p>
                <w:p>
                  <w:pPr>
                    <w:pStyle w:val="null3"/>
                  </w:pPr>
                  <w:r>
                    <w:rPr>
                      <w:rFonts w:ascii="仿宋_GB2312" w:hAnsi="仿宋_GB2312" w:cs="仿宋_GB2312" w:eastAsia="仿宋_GB2312"/>
                      <w:sz w:val="19"/>
                    </w:rPr>
                    <w:t>量程漂移：±0.3 mg/L</w:t>
                  </w:r>
                </w:p>
                <w:p>
                  <w:pPr>
                    <w:pStyle w:val="null3"/>
                  </w:pPr>
                  <w:r>
                    <w:rPr>
                      <w:rFonts w:ascii="仿宋_GB2312" w:hAnsi="仿宋_GB2312" w:cs="仿宋_GB2312" w:eastAsia="仿宋_GB2312"/>
                      <w:sz w:val="19"/>
                    </w:rPr>
                    <w:t>重复性：±0.3 mg/L</w:t>
                  </w:r>
                </w:p>
                <w:p>
                  <w:pPr>
                    <w:pStyle w:val="null3"/>
                  </w:pPr>
                  <w:r>
                    <w:rPr>
                      <w:rFonts w:ascii="仿宋_GB2312" w:hAnsi="仿宋_GB2312" w:cs="仿宋_GB2312" w:eastAsia="仿宋_GB2312"/>
                      <w:sz w:val="19"/>
                    </w:rPr>
                    <w:t>响应时间（T90）：≤120 s</w:t>
                  </w:r>
                </w:p>
                <w:p>
                  <w:pPr>
                    <w:pStyle w:val="null3"/>
                  </w:pPr>
                  <w:r>
                    <w:rPr>
                      <w:rFonts w:ascii="仿宋_GB2312" w:hAnsi="仿宋_GB2312" w:cs="仿宋_GB2312" w:eastAsia="仿宋_GB2312"/>
                      <w:sz w:val="19"/>
                    </w:rPr>
                    <w:t>温度补偿精度：±0.3 mg/L</w:t>
                  </w:r>
                </w:p>
                <w:p>
                  <w:pPr>
                    <w:pStyle w:val="null3"/>
                  </w:pPr>
                  <w:r>
                    <w:rPr>
                      <w:rFonts w:ascii="仿宋_GB2312" w:hAnsi="仿宋_GB2312" w:cs="仿宋_GB2312" w:eastAsia="仿宋_GB2312"/>
                      <w:sz w:val="19"/>
                    </w:rPr>
                    <w:t>平均无故障运行时间：≥720 h/次</w:t>
                  </w:r>
                </w:p>
                <w:p>
                  <w:pPr>
                    <w:pStyle w:val="null3"/>
                  </w:pPr>
                  <w:r>
                    <w:rPr>
                      <w:rFonts w:ascii="仿宋_GB2312" w:hAnsi="仿宋_GB2312" w:cs="仿宋_GB2312" w:eastAsia="仿宋_GB2312"/>
                      <w:sz w:val="19"/>
                    </w:rPr>
                    <w:t>实际水样比对试验：±0.3 mg/L</w:t>
                  </w:r>
                </w:p>
                <w:p>
                  <w:pPr>
                    <w:pStyle w:val="null3"/>
                  </w:pPr>
                  <w:r>
                    <w:rPr>
                      <w:rFonts w:ascii="仿宋_GB2312" w:hAnsi="仿宋_GB2312" w:cs="仿宋_GB2312" w:eastAsia="仿宋_GB2312"/>
                      <w:sz w:val="19"/>
                    </w:rPr>
                    <w:t>防护等级：≥IP65</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浊度</w:t>
                  </w:r>
                </w:p>
              </w:tc>
              <w:tc>
                <w:tcPr>
                  <w:tcW w:type="dxa" w:w="365"/>
                </w:tcPr>
                <w:p>
                  <w:pPr>
                    <w:pStyle w:val="null3"/>
                  </w:pPr>
                  <w:r>
                    <w:rPr>
                      <w:rFonts w:ascii="仿宋_GB2312" w:hAnsi="仿宋_GB2312" w:cs="仿宋_GB2312" w:eastAsia="仿宋_GB2312"/>
                      <w:sz w:val="19"/>
                    </w:rPr>
                    <w:t>测定原理：光散射法</w:t>
                  </w:r>
                </w:p>
                <w:p>
                  <w:pPr>
                    <w:pStyle w:val="null3"/>
                  </w:pPr>
                  <w:r>
                    <w:rPr>
                      <w:rFonts w:ascii="仿宋_GB2312" w:hAnsi="仿宋_GB2312" w:cs="仿宋_GB2312" w:eastAsia="仿宋_GB2312"/>
                      <w:sz w:val="19"/>
                    </w:rPr>
                    <w:t>量程：0～1000NTU，可调</w:t>
                  </w:r>
                </w:p>
                <w:p>
                  <w:pPr>
                    <w:pStyle w:val="null3"/>
                  </w:pPr>
                  <w:r>
                    <w:rPr>
                      <w:rFonts w:ascii="仿宋_GB2312" w:hAnsi="仿宋_GB2312" w:cs="仿宋_GB2312" w:eastAsia="仿宋_GB2312"/>
                      <w:sz w:val="19"/>
                    </w:rPr>
                    <w:t>重复性：±5%</w:t>
                  </w:r>
                </w:p>
                <w:p>
                  <w:pPr>
                    <w:pStyle w:val="null3"/>
                  </w:pPr>
                  <w:r>
                    <w:rPr>
                      <w:rFonts w:ascii="仿宋_GB2312" w:hAnsi="仿宋_GB2312" w:cs="仿宋_GB2312" w:eastAsia="仿宋_GB2312"/>
                      <w:sz w:val="19"/>
                    </w:rPr>
                    <w:t>零点漂移：±3%</w:t>
                  </w:r>
                </w:p>
                <w:p>
                  <w:pPr>
                    <w:pStyle w:val="null3"/>
                  </w:pPr>
                  <w:r>
                    <w:rPr>
                      <w:rFonts w:ascii="仿宋_GB2312" w:hAnsi="仿宋_GB2312" w:cs="仿宋_GB2312" w:eastAsia="仿宋_GB2312"/>
                      <w:sz w:val="19"/>
                    </w:rPr>
                    <w:t>量程漂移：±5%</w:t>
                  </w:r>
                </w:p>
                <w:p>
                  <w:pPr>
                    <w:pStyle w:val="null3"/>
                  </w:pPr>
                  <w:r>
                    <w:rPr>
                      <w:rFonts w:ascii="仿宋_GB2312" w:hAnsi="仿宋_GB2312" w:cs="仿宋_GB2312" w:eastAsia="仿宋_GB2312"/>
                      <w:sz w:val="19"/>
                    </w:rPr>
                    <w:t>平均无故障运行时间：≥720h/次</w:t>
                  </w:r>
                </w:p>
                <w:p>
                  <w:pPr>
                    <w:pStyle w:val="null3"/>
                  </w:pPr>
                  <w:r>
                    <w:rPr>
                      <w:rFonts w:ascii="仿宋_GB2312" w:hAnsi="仿宋_GB2312" w:cs="仿宋_GB2312" w:eastAsia="仿宋_GB2312"/>
                      <w:sz w:val="19"/>
                    </w:rPr>
                    <w:t>实际水样比对试验：±10%</w:t>
                  </w:r>
                </w:p>
                <w:p>
                  <w:pPr>
                    <w:pStyle w:val="null3"/>
                  </w:pPr>
                  <w:r>
                    <w:rPr>
                      <w:rFonts w:ascii="仿宋_GB2312" w:hAnsi="仿宋_GB2312" w:cs="仿宋_GB2312" w:eastAsia="仿宋_GB2312"/>
                      <w:sz w:val="19"/>
                    </w:rPr>
                    <w:t>防护等级：≥IP65</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COD</w:t>
                  </w:r>
                </w:p>
              </w:tc>
              <w:tc>
                <w:tcPr>
                  <w:tcW w:type="dxa" w:w="365"/>
                </w:tcPr>
                <w:p>
                  <w:pPr>
                    <w:pStyle w:val="null3"/>
                  </w:pPr>
                  <w:r>
                    <w:rPr>
                      <w:rFonts w:ascii="仿宋_GB2312" w:hAnsi="仿宋_GB2312" w:cs="仿宋_GB2312" w:eastAsia="仿宋_GB2312"/>
                      <w:sz w:val="19"/>
                    </w:rPr>
                    <w:t>测试原理：重铬酸钾氧化分光光度法</w:t>
                  </w:r>
                </w:p>
                <w:p>
                  <w:pPr>
                    <w:pStyle w:val="null3"/>
                  </w:pPr>
                  <w:r>
                    <w:rPr>
                      <w:rFonts w:ascii="仿宋_GB2312" w:hAnsi="仿宋_GB2312" w:cs="仿宋_GB2312" w:eastAsia="仿宋_GB2312"/>
                      <w:sz w:val="19"/>
                    </w:rPr>
                    <w:t>测定范围：0~200mg/L（可扩展）</w:t>
                  </w:r>
                </w:p>
                <w:p>
                  <w:pPr>
                    <w:pStyle w:val="null3"/>
                  </w:pPr>
                  <w:r>
                    <w:rPr>
                      <w:rFonts w:ascii="仿宋_GB2312" w:hAnsi="仿宋_GB2312" w:cs="仿宋_GB2312" w:eastAsia="仿宋_GB2312"/>
                      <w:sz w:val="19"/>
                    </w:rPr>
                    <w:t>准确度：±10%</w:t>
                  </w:r>
                </w:p>
                <w:p>
                  <w:pPr>
                    <w:pStyle w:val="null3"/>
                  </w:pPr>
                  <w:r>
                    <w:rPr>
                      <w:rFonts w:ascii="仿宋_GB2312" w:hAnsi="仿宋_GB2312" w:cs="仿宋_GB2312" w:eastAsia="仿宋_GB2312"/>
                      <w:sz w:val="19"/>
                    </w:rPr>
                    <w:t>重复性：≤5%</w:t>
                  </w:r>
                </w:p>
                <w:p>
                  <w:pPr>
                    <w:pStyle w:val="null3"/>
                  </w:pPr>
                  <w:r>
                    <w:rPr>
                      <w:rFonts w:ascii="仿宋_GB2312" w:hAnsi="仿宋_GB2312" w:cs="仿宋_GB2312" w:eastAsia="仿宋_GB2312"/>
                      <w:sz w:val="19"/>
                    </w:rPr>
                    <w:t>零点漂移：±5mg/L</w:t>
                  </w:r>
                </w:p>
                <w:p>
                  <w:pPr>
                    <w:pStyle w:val="null3"/>
                  </w:pPr>
                  <w:r>
                    <w:rPr>
                      <w:rFonts w:ascii="仿宋_GB2312" w:hAnsi="仿宋_GB2312" w:cs="仿宋_GB2312" w:eastAsia="仿宋_GB2312"/>
                      <w:sz w:val="19"/>
                    </w:rPr>
                    <w:t>量程漂移：±5%</w:t>
                  </w:r>
                </w:p>
                <w:p>
                  <w:pPr>
                    <w:pStyle w:val="null3"/>
                  </w:pPr>
                  <w:r>
                    <w:rPr>
                      <w:rFonts w:ascii="仿宋_GB2312" w:hAnsi="仿宋_GB2312" w:cs="仿宋_GB2312" w:eastAsia="仿宋_GB2312"/>
                      <w:sz w:val="19"/>
                    </w:rPr>
                    <w:t>检出限：≤5mg/L</w:t>
                  </w:r>
                </w:p>
                <w:p>
                  <w:pPr>
                    <w:pStyle w:val="null3"/>
                  </w:pPr>
                  <w:r>
                    <w:rPr>
                      <w:rFonts w:ascii="仿宋_GB2312" w:hAnsi="仿宋_GB2312" w:cs="仿宋_GB2312" w:eastAsia="仿宋_GB2312"/>
                      <w:sz w:val="19"/>
                    </w:rPr>
                    <w:t>平均无故障运行时间：≥720h/次</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BOD</w:t>
                  </w:r>
                </w:p>
              </w:tc>
              <w:tc>
                <w:tcPr>
                  <w:tcW w:type="dxa" w:w="365"/>
                </w:tcPr>
                <w:p>
                  <w:pPr>
                    <w:pStyle w:val="null3"/>
                  </w:pPr>
                  <w:r>
                    <w:rPr>
                      <w:rFonts w:ascii="仿宋_GB2312" w:hAnsi="仿宋_GB2312" w:cs="仿宋_GB2312" w:eastAsia="仿宋_GB2312"/>
                      <w:sz w:val="19"/>
                    </w:rPr>
                    <w:t>量程：0～25mg/L，可扩展</w:t>
                  </w:r>
                </w:p>
                <w:p>
                  <w:pPr>
                    <w:pStyle w:val="null3"/>
                  </w:pPr>
                  <w:r>
                    <w:rPr>
                      <w:rFonts w:ascii="仿宋_GB2312" w:hAnsi="仿宋_GB2312" w:cs="仿宋_GB2312" w:eastAsia="仿宋_GB2312"/>
                      <w:sz w:val="19"/>
                    </w:rPr>
                    <w:t>零点漂移：±1.5mg/L</w:t>
                  </w:r>
                </w:p>
                <w:p>
                  <w:pPr>
                    <w:pStyle w:val="null3"/>
                  </w:pPr>
                  <w:r>
                    <w:rPr>
                      <w:rFonts w:ascii="仿宋_GB2312" w:hAnsi="仿宋_GB2312" w:cs="仿宋_GB2312" w:eastAsia="仿宋_GB2312"/>
                      <w:sz w:val="19"/>
                    </w:rPr>
                    <w:t>量程漂移：±3mg/L</w:t>
                  </w:r>
                </w:p>
                <w:p>
                  <w:pPr>
                    <w:pStyle w:val="null3"/>
                  </w:pPr>
                  <w:r>
                    <w:rPr>
                      <w:rFonts w:ascii="仿宋_GB2312" w:hAnsi="仿宋_GB2312" w:cs="仿宋_GB2312" w:eastAsia="仿宋_GB2312"/>
                      <w:sz w:val="19"/>
                    </w:rPr>
                    <w:t>重复性：±10%</w:t>
                  </w:r>
                </w:p>
                <w:p>
                  <w:pPr>
                    <w:pStyle w:val="null3"/>
                  </w:pPr>
                  <w:r>
                    <w:rPr>
                      <w:rFonts w:ascii="仿宋_GB2312" w:hAnsi="仿宋_GB2312" w:cs="仿宋_GB2312" w:eastAsia="仿宋_GB2312"/>
                      <w:sz w:val="19"/>
                    </w:rPr>
                    <w:t>准确度：±10%</w:t>
                  </w:r>
                </w:p>
                <w:p>
                  <w:pPr>
                    <w:pStyle w:val="null3"/>
                  </w:pPr>
                  <w:r>
                    <w:rPr>
                      <w:rFonts w:ascii="仿宋_GB2312" w:hAnsi="仿宋_GB2312" w:cs="仿宋_GB2312" w:eastAsia="仿宋_GB2312"/>
                      <w:sz w:val="19"/>
                    </w:rPr>
                    <w:t>检出限：≤1.5mg/L</w:t>
                  </w:r>
                </w:p>
                <w:p>
                  <w:pPr>
                    <w:pStyle w:val="null3"/>
                  </w:pPr>
                  <w:r>
                    <w:rPr>
                      <w:rFonts w:ascii="仿宋_GB2312" w:hAnsi="仿宋_GB2312" w:cs="仿宋_GB2312" w:eastAsia="仿宋_GB2312"/>
                      <w:sz w:val="19"/>
                    </w:rPr>
                    <w:t>检测频率≥1天/次</w:t>
                  </w:r>
                </w:p>
                <w:p>
                  <w:pPr>
                    <w:pStyle w:val="null3"/>
                  </w:pPr>
                  <w:r>
                    <w:rPr>
                      <w:rFonts w:ascii="仿宋_GB2312" w:hAnsi="仿宋_GB2312" w:cs="仿宋_GB2312" w:eastAsia="仿宋_GB2312"/>
                      <w:sz w:val="19"/>
                    </w:rPr>
                    <w:t>样品数量：≥10瓶</w:t>
                  </w:r>
                </w:p>
                <w:p>
                  <w:pPr>
                    <w:pStyle w:val="null3"/>
                  </w:pPr>
                  <w:r>
                    <w:rPr>
                      <w:rFonts w:ascii="仿宋_GB2312" w:hAnsi="仿宋_GB2312" w:cs="仿宋_GB2312" w:eastAsia="仿宋_GB2312"/>
                      <w:sz w:val="19"/>
                    </w:rPr>
                    <w:t>平均无故障运行时间：≥720h/次</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高锰酸盐指数</w:t>
                  </w:r>
                </w:p>
              </w:tc>
              <w:tc>
                <w:tcPr>
                  <w:tcW w:type="dxa" w:w="365"/>
                </w:tcPr>
                <w:p>
                  <w:pPr>
                    <w:pStyle w:val="null3"/>
                  </w:pPr>
                  <w:r>
                    <w:rPr>
                      <w:rFonts w:ascii="仿宋_GB2312" w:hAnsi="仿宋_GB2312" w:cs="仿宋_GB2312" w:eastAsia="仿宋_GB2312"/>
                      <w:sz w:val="19"/>
                    </w:rPr>
                    <w:t>测定原理：高锰酸钾氧化法</w:t>
                  </w:r>
                </w:p>
                <w:p>
                  <w:pPr>
                    <w:pStyle w:val="null3"/>
                  </w:pPr>
                  <w:r>
                    <w:rPr>
                      <w:rFonts w:ascii="仿宋_GB2312" w:hAnsi="仿宋_GB2312" w:cs="仿宋_GB2312" w:eastAsia="仿宋_GB2312"/>
                      <w:sz w:val="19"/>
                    </w:rPr>
                    <w:t>量程：0～20mg/L，可调</w:t>
                  </w:r>
                </w:p>
                <w:p>
                  <w:pPr>
                    <w:pStyle w:val="null3"/>
                  </w:pPr>
                  <w:r>
                    <w:rPr>
                      <w:rFonts w:ascii="仿宋_GB2312" w:hAnsi="仿宋_GB2312" w:cs="仿宋_GB2312" w:eastAsia="仿宋_GB2312"/>
                      <w:sz w:val="19"/>
                    </w:rPr>
                    <w:t>零点漂移：±5%</w:t>
                  </w:r>
                </w:p>
                <w:p>
                  <w:pPr>
                    <w:pStyle w:val="null3"/>
                  </w:pPr>
                  <w:r>
                    <w:rPr>
                      <w:rFonts w:ascii="仿宋_GB2312" w:hAnsi="仿宋_GB2312" w:cs="仿宋_GB2312" w:eastAsia="仿宋_GB2312"/>
                      <w:sz w:val="19"/>
                    </w:rPr>
                    <w:t>量程漂移：±5%</w:t>
                  </w:r>
                </w:p>
                <w:p>
                  <w:pPr>
                    <w:pStyle w:val="null3"/>
                  </w:pPr>
                  <w:r>
                    <w:rPr>
                      <w:rFonts w:ascii="仿宋_GB2312" w:hAnsi="仿宋_GB2312" w:cs="仿宋_GB2312" w:eastAsia="仿宋_GB2312"/>
                      <w:sz w:val="19"/>
                    </w:rPr>
                    <w:t>葡萄糖试验：±5% （测量误差）</w:t>
                  </w:r>
                </w:p>
                <w:p>
                  <w:pPr>
                    <w:pStyle w:val="null3"/>
                  </w:pPr>
                  <w:r>
                    <w:rPr>
                      <w:rFonts w:ascii="仿宋_GB2312" w:hAnsi="仿宋_GB2312" w:cs="仿宋_GB2312" w:eastAsia="仿宋_GB2312"/>
                      <w:sz w:val="19"/>
                    </w:rPr>
                    <w:t>重复性：±5%</w:t>
                  </w:r>
                </w:p>
                <w:p>
                  <w:pPr>
                    <w:pStyle w:val="null3"/>
                  </w:pPr>
                  <w:r>
                    <w:rPr>
                      <w:rFonts w:ascii="仿宋_GB2312" w:hAnsi="仿宋_GB2312" w:cs="仿宋_GB2312" w:eastAsia="仿宋_GB2312"/>
                      <w:sz w:val="19"/>
                    </w:rPr>
                    <w:t>检出限：≤0.5mg/L</w:t>
                  </w:r>
                </w:p>
                <w:p>
                  <w:pPr>
                    <w:pStyle w:val="null3"/>
                  </w:pPr>
                  <w:r>
                    <w:rPr>
                      <w:rFonts w:ascii="仿宋_GB2312" w:hAnsi="仿宋_GB2312" w:cs="仿宋_GB2312" w:eastAsia="仿宋_GB2312"/>
                      <w:sz w:val="19"/>
                    </w:rPr>
                    <w:t>平均无故障运行时间：≥720 h/次</w:t>
                  </w:r>
                </w:p>
                <w:p>
                  <w:pPr>
                    <w:pStyle w:val="null3"/>
                  </w:pPr>
                  <w:r>
                    <w:rPr>
                      <w:rFonts w:ascii="仿宋_GB2312" w:hAnsi="仿宋_GB2312" w:cs="仿宋_GB2312" w:eastAsia="仿宋_GB2312"/>
                      <w:sz w:val="19"/>
                    </w:rPr>
                    <w:t>实际水样比对试验：±10%</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氨氮</w:t>
                  </w:r>
                </w:p>
              </w:tc>
              <w:tc>
                <w:tcPr>
                  <w:tcW w:type="dxa" w:w="365"/>
                </w:tcPr>
                <w:p>
                  <w:pPr>
                    <w:pStyle w:val="null3"/>
                  </w:pPr>
                  <w:r>
                    <w:rPr>
                      <w:rFonts w:ascii="仿宋_GB2312" w:hAnsi="仿宋_GB2312" w:cs="仿宋_GB2312" w:eastAsia="仿宋_GB2312"/>
                      <w:sz w:val="19"/>
                    </w:rPr>
                    <w:t>测定原理：水杨酸分光光度法</w:t>
                  </w:r>
                </w:p>
                <w:p>
                  <w:pPr>
                    <w:pStyle w:val="null3"/>
                  </w:pPr>
                  <w:r>
                    <w:rPr>
                      <w:rFonts w:ascii="仿宋_GB2312" w:hAnsi="仿宋_GB2312" w:cs="仿宋_GB2312" w:eastAsia="仿宋_GB2312"/>
                      <w:sz w:val="19"/>
                    </w:rPr>
                    <w:t>量程：0～10 mg/L，可调</w:t>
                  </w:r>
                </w:p>
                <w:p>
                  <w:pPr>
                    <w:pStyle w:val="null3"/>
                  </w:pPr>
                  <w:r>
                    <w:rPr>
                      <w:rFonts w:ascii="仿宋_GB2312" w:hAnsi="仿宋_GB2312" w:cs="仿宋_GB2312" w:eastAsia="仿宋_GB2312"/>
                      <w:sz w:val="19"/>
                    </w:rPr>
                    <w:t>零点漂移：≤0.02 mg/L</w:t>
                  </w:r>
                </w:p>
                <w:p>
                  <w:pPr>
                    <w:pStyle w:val="null3"/>
                  </w:pPr>
                  <w:r>
                    <w:rPr>
                      <w:rFonts w:ascii="仿宋_GB2312" w:hAnsi="仿宋_GB2312" w:cs="仿宋_GB2312" w:eastAsia="仿宋_GB2312"/>
                      <w:sz w:val="19"/>
                    </w:rPr>
                    <w:t>量程漂移：≤1.0%</w:t>
                  </w:r>
                </w:p>
                <w:p>
                  <w:pPr>
                    <w:pStyle w:val="null3"/>
                  </w:pPr>
                  <w:r>
                    <w:rPr>
                      <w:rFonts w:ascii="仿宋_GB2312" w:hAnsi="仿宋_GB2312" w:cs="仿宋_GB2312" w:eastAsia="仿宋_GB2312"/>
                      <w:sz w:val="19"/>
                    </w:rPr>
                    <w:t>示值误差：标液浓度为 2.0 mg/L 时：± 8.0%</w:t>
                  </w:r>
                </w:p>
                <w:p>
                  <w:pPr>
                    <w:pStyle w:val="null3"/>
                  </w:pPr>
                  <w:r>
                    <w:rPr>
                      <w:rFonts w:ascii="仿宋_GB2312" w:hAnsi="仿宋_GB2312" w:cs="仿宋_GB2312" w:eastAsia="仿宋_GB2312"/>
                      <w:sz w:val="19"/>
                    </w:rPr>
                    <w:t>标液浓度为 5.0 mg/L 时：± 5.0%</w:t>
                  </w:r>
                </w:p>
                <w:p>
                  <w:pPr>
                    <w:pStyle w:val="null3"/>
                  </w:pPr>
                  <w:r>
                    <w:rPr>
                      <w:rFonts w:ascii="仿宋_GB2312" w:hAnsi="仿宋_GB2312" w:cs="仿宋_GB2312" w:eastAsia="仿宋_GB2312"/>
                      <w:sz w:val="19"/>
                    </w:rPr>
                    <w:t>标液浓度为 8.0 mg/L 时：± 3.0%</w:t>
                  </w:r>
                </w:p>
                <w:p>
                  <w:pPr>
                    <w:pStyle w:val="null3"/>
                  </w:pPr>
                  <w:r>
                    <w:rPr>
                      <w:rFonts w:ascii="仿宋_GB2312" w:hAnsi="仿宋_GB2312" w:cs="仿宋_GB2312" w:eastAsia="仿宋_GB2312"/>
                      <w:sz w:val="19"/>
                    </w:rPr>
                    <w:t>重复性：≤2.0%</w:t>
                  </w:r>
                </w:p>
                <w:p>
                  <w:pPr>
                    <w:pStyle w:val="null3"/>
                  </w:pPr>
                  <w:r>
                    <w:rPr>
                      <w:rFonts w:ascii="仿宋_GB2312" w:hAnsi="仿宋_GB2312" w:cs="仿宋_GB2312" w:eastAsia="仿宋_GB2312"/>
                      <w:sz w:val="19"/>
                    </w:rPr>
                    <w:t>记忆效应：标液浓度为 2.0 mg/L 时：± 0.3 mg/L</w:t>
                  </w:r>
                </w:p>
                <w:p>
                  <w:pPr>
                    <w:pStyle w:val="null3"/>
                  </w:pPr>
                  <w:r>
                    <w:rPr>
                      <w:rFonts w:ascii="仿宋_GB2312" w:hAnsi="仿宋_GB2312" w:cs="仿宋_GB2312" w:eastAsia="仿宋_GB2312"/>
                      <w:sz w:val="19"/>
                    </w:rPr>
                    <w:t>标液浓度为 8.0 mg/L 时：± 0.2 mg/L</w:t>
                  </w:r>
                </w:p>
                <w:p>
                  <w:pPr>
                    <w:pStyle w:val="null3"/>
                  </w:pPr>
                  <w:r>
                    <w:rPr>
                      <w:rFonts w:ascii="仿宋_GB2312" w:hAnsi="仿宋_GB2312" w:cs="仿宋_GB2312" w:eastAsia="仿宋_GB2312"/>
                      <w:sz w:val="19"/>
                    </w:rPr>
                    <w:t>检出限：≤0.05mg/L</w:t>
                  </w:r>
                </w:p>
                <w:p>
                  <w:pPr>
                    <w:pStyle w:val="null3"/>
                  </w:pPr>
                  <w:r>
                    <w:rPr>
                      <w:rFonts w:ascii="仿宋_GB2312" w:hAnsi="仿宋_GB2312" w:cs="仿宋_GB2312" w:eastAsia="仿宋_GB2312"/>
                      <w:sz w:val="19"/>
                    </w:rPr>
                    <w:t>pH 干扰试验：± 6.0%</w:t>
                  </w:r>
                </w:p>
                <w:p>
                  <w:pPr>
                    <w:pStyle w:val="null3"/>
                  </w:pPr>
                  <w:r>
                    <w:rPr>
                      <w:rFonts w:ascii="仿宋_GB2312" w:hAnsi="仿宋_GB2312" w:cs="仿宋_GB2312" w:eastAsia="仿宋_GB2312"/>
                      <w:sz w:val="19"/>
                    </w:rPr>
                    <w:t>实际水样比对试验：水样浓度&lt;2.0 mg/L：≤0.2 mg/L</w:t>
                  </w:r>
                </w:p>
                <w:p>
                  <w:pPr>
                    <w:pStyle w:val="null3"/>
                  </w:pPr>
                  <w:r>
                    <w:rPr>
                      <w:rFonts w:ascii="仿宋_GB2312" w:hAnsi="仿宋_GB2312" w:cs="仿宋_GB2312" w:eastAsia="仿宋_GB2312"/>
                      <w:sz w:val="19"/>
                    </w:rPr>
                    <w:t>水样浓度≥2.0 mg/L ：≤10.0%</w:t>
                  </w:r>
                </w:p>
                <w:p>
                  <w:pPr>
                    <w:pStyle w:val="null3"/>
                  </w:pPr>
                  <w:r>
                    <w:rPr>
                      <w:rFonts w:ascii="仿宋_GB2312" w:hAnsi="仿宋_GB2312" w:cs="仿宋_GB2312" w:eastAsia="仿宋_GB2312"/>
                      <w:sz w:val="19"/>
                    </w:rPr>
                    <w:t>最小维护周期：≥168h</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总磷</w:t>
                  </w:r>
                </w:p>
              </w:tc>
              <w:tc>
                <w:tcPr>
                  <w:tcW w:type="dxa" w:w="365"/>
                </w:tcPr>
                <w:p>
                  <w:pPr>
                    <w:pStyle w:val="null3"/>
                  </w:pPr>
                  <w:r>
                    <w:rPr>
                      <w:rFonts w:ascii="仿宋_GB2312" w:hAnsi="仿宋_GB2312" w:cs="仿宋_GB2312" w:eastAsia="仿宋_GB2312"/>
                      <w:sz w:val="19"/>
                    </w:rPr>
                    <w:t>测定原理：钼酸铵分光光度法</w:t>
                  </w:r>
                </w:p>
                <w:p>
                  <w:pPr>
                    <w:pStyle w:val="null3"/>
                  </w:pPr>
                  <w:r>
                    <w:rPr>
                      <w:rFonts w:ascii="仿宋_GB2312" w:hAnsi="仿宋_GB2312" w:cs="仿宋_GB2312" w:eastAsia="仿宋_GB2312"/>
                      <w:sz w:val="19"/>
                    </w:rPr>
                    <w:t>量程：0～2mg/L，可调</w:t>
                  </w:r>
                </w:p>
                <w:p>
                  <w:pPr>
                    <w:pStyle w:val="null3"/>
                  </w:pPr>
                  <w:r>
                    <w:rPr>
                      <w:rFonts w:ascii="仿宋_GB2312" w:hAnsi="仿宋_GB2312" w:cs="仿宋_GB2312" w:eastAsia="仿宋_GB2312"/>
                      <w:sz w:val="19"/>
                    </w:rPr>
                    <w:t>零点漂移：±5%</w:t>
                  </w:r>
                </w:p>
                <w:p>
                  <w:pPr>
                    <w:pStyle w:val="null3"/>
                  </w:pPr>
                  <w:r>
                    <w:rPr>
                      <w:rFonts w:ascii="仿宋_GB2312" w:hAnsi="仿宋_GB2312" w:cs="仿宋_GB2312" w:eastAsia="仿宋_GB2312"/>
                      <w:sz w:val="19"/>
                    </w:rPr>
                    <w:t>量程漂移：±10%</w:t>
                  </w:r>
                </w:p>
                <w:p>
                  <w:pPr>
                    <w:pStyle w:val="null3"/>
                  </w:pPr>
                  <w:r>
                    <w:rPr>
                      <w:rFonts w:ascii="仿宋_GB2312" w:hAnsi="仿宋_GB2312" w:cs="仿宋_GB2312" w:eastAsia="仿宋_GB2312"/>
                      <w:sz w:val="19"/>
                    </w:rPr>
                    <w:t>直线性：±10%</w:t>
                  </w:r>
                </w:p>
                <w:p>
                  <w:pPr>
                    <w:pStyle w:val="null3"/>
                  </w:pPr>
                  <w:r>
                    <w:rPr>
                      <w:rFonts w:ascii="仿宋_GB2312" w:hAnsi="仿宋_GB2312" w:cs="仿宋_GB2312" w:eastAsia="仿宋_GB2312"/>
                      <w:sz w:val="19"/>
                    </w:rPr>
                    <w:t>重复性：±10%</w:t>
                  </w:r>
                </w:p>
                <w:p>
                  <w:pPr>
                    <w:pStyle w:val="null3"/>
                  </w:pPr>
                  <w:r>
                    <w:rPr>
                      <w:rFonts w:ascii="仿宋_GB2312" w:hAnsi="仿宋_GB2312" w:cs="仿宋_GB2312" w:eastAsia="仿宋_GB2312"/>
                      <w:sz w:val="19"/>
                    </w:rPr>
                    <w:t>检出限：≤0.01mg/L</w:t>
                  </w:r>
                </w:p>
                <w:p>
                  <w:pPr>
                    <w:pStyle w:val="null3"/>
                  </w:pPr>
                  <w:r>
                    <w:rPr>
                      <w:rFonts w:ascii="仿宋_GB2312" w:hAnsi="仿宋_GB2312" w:cs="仿宋_GB2312" w:eastAsia="仿宋_GB2312"/>
                      <w:sz w:val="19"/>
                    </w:rPr>
                    <w:t>平均无故障运行时间：≥720h/次</w:t>
                  </w:r>
                </w:p>
                <w:p>
                  <w:pPr>
                    <w:pStyle w:val="null3"/>
                  </w:pPr>
                  <w:r>
                    <w:rPr>
                      <w:rFonts w:ascii="仿宋_GB2312" w:hAnsi="仿宋_GB2312" w:cs="仿宋_GB2312" w:eastAsia="仿宋_GB2312"/>
                      <w:sz w:val="19"/>
                    </w:rPr>
                    <w:t>实际水样比对试验：±10%</w:t>
                  </w:r>
                </w:p>
              </w:tc>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sz w:val="19"/>
                    </w:rPr>
                    <w:t>总氮</w:t>
                  </w:r>
                </w:p>
              </w:tc>
              <w:tc>
                <w:tcPr>
                  <w:tcW w:type="dxa" w:w="365"/>
                </w:tcPr>
                <w:p>
                  <w:pPr>
                    <w:pStyle w:val="null3"/>
                  </w:pPr>
                  <w:r>
                    <w:rPr>
                      <w:rFonts w:ascii="仿宋_GB2312" w:hAnsi="仿宋_GB2312" w:cs="仿宋_GB2312" w:eastAsia="仿宋_GB2312"/>
                      <w:sz w:val="19"/>
                    </w:rPr>
                    <w:t>测定原理：碱性过硫酸钾消解紫外分光光度法</w:t>
                  </w:r>
                </w:p>
                <w:p>
                  <w:pPr>
                    <w:pStyle w:val="null3"/>
                  </w:pPr>
                  <w:r>
                    <w:rPr>
                      <w:rFonts w:ascii="仿宋_GB2312" w:hAnsi="仿宋_GB2312" w:cs="仿宋_GB2312" w:eastAsia="仿宋_GB2312"/>
                      <w:sz w:val="19"/>
                    </w:rPr>
                    <w:t>量程：0～50mg/L，可调</w:t>
                  </w:r>
                </w:p>
                <w:p>
                  <w:pPr>
                    <w:pStyle w:val="null3"/>
                  </w:pPr>
                  <w:r>
                    <w:rPr>
                      <w:rFonts w:ascii="仿宋_GB2312" w:hAnsi="仿宋_GB2312" w:cs="仿宋_GB2312" w:eastAsia="仿宋_GB2312"/>
                      <w:sz w:val="19"/>
                    </w:rPr>
                    <w:t>零点漂移：±5%</w:t>
                  </w:r>
                </w:p>
                <w:p>
                  <w:pPr>
                    <w:pStyle w:val="null3"/>
                  </w:pPr>
                  <w:r>
                    <w:rPr>
                      <w:rFonts w:ascii="仿宋_GB2312" w:hAnsi="仿宋_GB2312" w:cs="仿宋_GB2312" w:eastAsia="仿宋_GB2312"/>
                      <w:sz w:val="19"/>
                    </w:rPr>
                    <w:t>量程漂移：±5%</w:t>
                  </w:r>
                </w:p>
                <w:p>
                  <w:pPr>
                    <w:pStyle w:val="null3"/>
                  </w:pPr>
                  <w:r>
                    <w:rPr>
                      <w:rFonts w:ascii="仿宋_GB2312" w:hAnsi="仿宋_GB2312" w:cs="仿宋_GB2312" w:eastAsia="仿宋_GB2312"/>
                      <w:sz w:val="19"/>
                    </w:rPr>
                    <w:t>直线性：±10%</w:t>
                  </w:r>
                </w:p>
                <w:p>
                  <w:pPr>
                    <w:pStyle w:val="null3"/>
                  </w:pPr>
                  <w:r>
                    <w:rPr>
                      <w:rFonts w:ascii="仿宋_GB2312" w:hAnsi="仿宋_GB2312" w:cs="仿宋_GB2312" w:eastAsia="仿宋_GB2312"/>
                      <w:sz w:val="19"/>
                    </w:rPr>
                    <w:t>准确度：±10%</w:t>
                  </w:r>
                </w:p>
                <w:p>
                  <w:pPr>
                    <w:pStyle w:val="null3"/>
                  </w:pPr>
                  <w:r>
                    <w:rPr>
                      <w:rFonts w:ascii="仿宋_GB2312" w:hAnsi="仿宋_GB2312" w:cs="仿宋_GB2312" w:eastAsia="仿宋_GB2312"/>
                      <w:sz w:val="19"/>
                    </w:rPr>
                    <w:t>检出限：≤0.05mg/L</w:t>
                  </w:r>
                </w:p>
                <w:p>
                  <w:pPr>
                    <w:pStyle w:val="null3"/>
                  </w:pPr>
                  <w:r>
                    <w:rPr>
                      <w:rFonts w:ascii="仿宋_GB2312" w:hAnsi="仿宋_GB2312" w:cs="仿宋_GB2312" w:eastAsia="仿宋_GB2312"/>
                      <w:sz w:val="19"/>
                    </w:rPr>
                    <w:t>平均无故障运行时间：≥720h/次</w:t>
                  </w:r>
                </w:p>
              </w:tc>
              <w:tc>
                <w:tcPr>
                  <w:tcW w:type="dxa" w:w="365"/>
                  <w:vMerge/>
                </w:tcPr>
                <w:p/>
              </w:tc>
              <w:tc>
                <w:tcPr>
                  <w:tcW w:type="dxa" w:w="365"/>
                  <w:vMerge/>
                </w:tcPr>
                <w:p/>
              </w:tc>
              <w:tc>
                <w:tcPr>
                  <w:tcW w:type="dxa" w:w="365"/>
                  <w:vMerge/>
                </w:tcPr>
                <w:p/>
              </w:tc>
            </w:tr>
            <w:tr>
              <w:tc>
                <w:tcPr>
                  <w:tcW w:type="dxa" w:w="365"/>
                  <w:vMerge/>
                </w:tcPr>
                <w:p/>
              </w:tc>
              <w:tc>
                <w:tcPr>
                  <w:tcW w:type="dxa" w:w="365"/>
                </w:tcPr>
                <w:p>
                  <w:pPr>
                    <w:pStyle w:val="null3"/>
                  </w:pPr>
                  <w:r>
                    <w:rPr>
                      <w:rFonts w:ascii="仿宋_GB2312" w:hAnsi="仿宋_GB2312" w:cs="仿宋_GB2312" w:eastAsia="仿宋_GB2312"/>
                      <w:sz w:val="19"/>
                    </w:rPr>
                    <w:t>采水单元</w:t>
                  </w:r>
                </w:p>
              </w:tc>
              <w:tc>
                <w:tcPr>
                  <w:tcW w:type="dxa" w:w="730"/>
                  <w:gridSpan w:val="2"/>
                </w:tcPr>
                <w:p>
                  <w:pPr>
                    <w:pStyle w:val="null3"/>
                  </w:pPr>
                  <w:r>
                    <w:rPr>
                      <w:rFonts w:ascii="仿宋_GB2312" w:hAnsi="仿宋_GB2312" w:cs="仿宋_GB2312" w:eastAsia="仿宋_GB2312"/>
                      <w:sz w:val="19"/>
                    </w:rPr>
                    <w:t>1.采水单元应结合现场水文、地质条件确定合适的采水方式，符合《地表水和污水监测技术规范》（HJ/T91），保证运行的稳定性、水样的代表性、维护的方便性；</w:t>
                  </w:r>
                </w:p>
                <w:p>
                  <w:pPr>
                    <w:pStyle w:val="null3"/>
                  </w:pPr>
                  <w:r>
                    <w:rPr>
                      <w:rFonts w:ascii="仿宋_GB2312" w:hAnsi="仿宋_GB2312" w:cs="仿宋_GB2312" w:eastAsia="仿宋_GB2312"/>
                      <w:sz w:val="19"/>
                    </w:rPr>
                    <w:t>2.采水单元包括采水构筑物、采水泵、采水管道、清洗配套装置、防堵塞装置和保温配套装置；</w:t>
                  </w:r>
                </w:p>
                <w:p>
                  <w:pPr>
                    <w:pStyle w:val="null3"/>
                  </w:pPr>
                  <w:r>
                    <w:rPr>
                      <w:rFonts w:ascii="仿宋_GB2312" w:hAnsi="仿宋_GB2312" w:cs="仿宋_GB2312" w:eastAsia="仿宋_GB2312"/>
                      <w:sz w:val="19"/>
                    </w:rPr>
                    <w:t>3.采样装置的吸水口设在水下0.5～1m范围内，并能够随水位变化适时调整位置，同时与水体底部保持足够的距离，防止底质淤泥对采样水质的影响；</w:t>
                  </w:r>
                </w:p>
                <w:p>
                  <w:pPr>
                    <w:pStyle w:val="null3"/>
                  </w:pPr>
                  <w:r>
                    <w:rPr>
                      <w:rFonts w:ascii="仿宋_GB2312" w:hAnsi="仿宋_GB2312" w:cs="仿宋_GB2312" w:eastAsia="仿宋_GB2312"/>
                      <w:sz w:val="19"/>
                    </w:rPr>
                    <w:t>4.采水系统具备双泵/双管路轮换功能，配置双泵/双管路采水，一用一备；可进行自动或手动切换，满足实时不间断监测的要求；</w:t>
                  </w:r>
                </w:p>
                <w:p>
                  <w:pPr>
                    <w:pStyle w:val="null3"/>
                  </w:pPr>
                  <w:r>
                    <w:rPr>
                      <w:rFonts w:ascii="仿宋_GB2312" w:hAnsi="仿宋_GB2312" w:cs="仿宋_GB2312" w:eastAsia="仿宋_GB2312"/>
                      <w:sz w:val="19"/>
                    </w:rPr>
                    <w:t>5.采水管道设置防冻保温措施，减少环境温度等因素对水样造成影响；</w:t>
                  </w:r>
                </w:p>
                <w:p>
                  <w:pPr>
                    <w:pStyle w:val="null3"/>
                  </w:pPr>
                  <w:r>
                    <w:rPr>
                      <w:rFonts w:ascii="仿宋_GB2312" w:hAnsi="仿宋_GB2312" w:cs="仿宋_GB2312" w:eastAsia="仿宋_GB2312"/>
                      <w:sz w:val="19"/>
                    </w:rPr>
                    <w:t>6.采水管道材质有足够的强度，具有良好的化学稳定性，不与水样中被测物产生物理和化学反应；</w:t>
                  </w:r>
                </w:p>
                <w:p>
                  <w:pPr>
                    <w:pStyle w:val="null3"/>
                  </w:pPr>
                  <w:r>
                    <w:rPr>
                      <w:rFonts w:ascii="仿宋_GB2312" w:hAnsi="仿宋_GB2312" w:cs="仿宋_GB2312" w:eastAsia="仿宋_GB2312"/>
                      <w:sz w:val="19"/>
                    </w:rPr>
                    <w:t>7.采水管道具有防意外堵塞和方便泥沙沉积后的清洗功能，管路应易于拆卸和清洗；</w:t>
                  </w:r>
                </w:p>
                <w:p>
                  <w:pPr>
                    <w:pStyle w:val="null3"/>
                  </w:pPr>
                  <w:r>
                    <w:rPr>
                      <w:rFonts w:ascii="仿宋_GB2312" w:hAnsi="仿宋_GB2312" w:cs="仿宋_GB2312" w:eastAsia="仿宋_GB2312"/>
                      <w:sz w:val="19"/>
                    </w:rPr>
                    <w:t>8.采水管道有除藻和反清洗设备，可以通入清洗水进行自动反冲洗；</w:t>
                  </w:r>
                </w:p>
                <w:p>
                  <w:pPr>
                    <w:pStyle w:val="null3"/>
                  </w:pPr>
                  <w:r>
                    <w:rPr>
                      <w:rFonts w:ascii="仿宋_GB2312" w:hAnsi="仿宋_GB2312" w:cs="仿宋_GB2312" w:eastAsia="仿宋_GB2312"/>
                      <w:sz w:val="19"/>
                    </w:rPr>
                    <w:t>9.采水单元采集的样品能保证水样代表性，集成干预核查应符合要求。</w:t>
                  </w:r>
                </w:p>
              </w:tc>
              <w:tc>
                <w:tcPr>
                  <w:tcW w:type="dxa" w:w="365"/>
                </w:tcPr>
                <w:p>
                  <w:pPr>
                    <w:pStyle w:val="null3"/>
                  </w:pPr>
                  <w:r>
                    <w:rPr>
                      <w:rFonts w:ascii="仿宋_GB2312" w:hAnsi="仿宋_GB2312" w:cs="仿宋_GB2312" w:eastAsia="仿宋_GB2312"/>
                      <w:sz w:val="19"/>
                    </w:rPr>
                    <w:t>1</w:t>
                  </w:r>
                </w:p>
              </w:tc>
              <w:tc>
                <w:tcPr>
                  <w:tcW w:type="dxa" w:w="365"/>
                </w:tcPr>
                <w:p>
                  <w:pPr>
                    <w:pStyle w:val="null3"/>
                  </w:pPr>
                  <w:r>
                    <w:rPr>
                      <w:rFonts w:ascii="仿宋_GB2312" w:hAnsi="仿宋_GB2312" w:cs="仿宋_GB2312" w:eastAsia="仿宋_GB2312"/>
                      <w:sz w:val="19"/>
                    </w:rPr>
                    <w:t>套</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配水及预处理单元</w:t>
                  </w:r>
                </w:p>
              </w:tc>
              <w:tc>
                <w:tcPr>
                  <w:tcW w:type="dxa" w:w="730"/>
                  <w:gridSpan w:val="2"/>
                </w:tcPr>
                <w:p>
                  <w:pPr>
                    <w:pStyle w:val="null3"/>
                  </w:pPr>
                  <w:r>
                    <w:rPr>
                      <w:rFonts w:ascii="仿宋_GB2312" w:hAnsi="仿宋_GB2312" w:cs="仿宋_GB2312" w:eastAsia="仿宋_GB2312"/>
                      <w:sz w:val="19"/>
                    </w:rPr>
                    <w:t>配水及预处理单元由水样分配单元、预处理装置及管道等组成。实现对分析仪器配水的功能，并具有自动反清（吹）洗和自动除藻功能。预处理单元为不同分析仪器配备预处理装置，水温、pH、浊度、溶解氧、电导率使用原水直接分析，其余参数应根据国家标准分析方法要求对分析仪器提供相应的预处理方法。</w:t>
                  </w:r>
                </w:p>
                <w:p>
                  <w:pPr>
                    <w:pStyle w:val="null3"/>
                  </w:pPr>
                  <w:r>
                    <w:rPr>
                      <w:rFonts w:ascii="仿宋_GB2312" w:hAnsi="仿宋_GB2312" w:cs="仿宋_GB2312" w:eastAsia="仿宋_GB2312"/>
                      <w:sz w:val="19"/>
                    </w:rPr>
                    <w:t>1）配水单元</w:t>
                  </w:r>
                </w:p>
                <w:p>
                  <w:pPr>
                    <w:pStyle w:val="null3"/>
                  </w:pPr>
                  <w:r>
                    <w:rPr>
                      <w:rFonts w:ascii="仿宋_GB2312" w:hAnsi="仿宋_GB2312" w:cs="仿宋_GB2312" w:eastAsia="仿宋_GB2312"/>
                      <w:sz w:val="19"/>
                    </w:rPr>
                    <w:t>a.配水管路设计合理，流向清晰，便于维护；保证仪器分析测试的水样应能代表实际水质情况并满足仪器测试需求；</w:t>
                  </w:r>
                </w:p>
                <w:p>
                  <w:pPr>
                    <w:pStyle w:val="null3"/>
                  </w:pPr>
                  <w:r>
                    <w:rPr>
                      <w:rFonts w:ascii="仿宋_GB2312" w:hAnsi="仿宋_GB2312" w:cs="仿宋_GB2312" w:eastAsia="仿宋_GB2312"/>
                      <w:sz w:val="19"/>
                    </w:rPr>
                    <w:t>b.配水单元具备自动反清（吹）洗功能，防止菌类和藻类等微生物对样品污染或对系统工作造成不良影响，设计中不使用对环境产生污染的清洗方法；</w:t>
                  </w:r>
                </w:p>
                <w:p>
                  <w:pPr>
                    <w:pStyle w:val="null3"/>
                  </w:pPr>
                  <w:r>
                    <w:rPr>
                      <w:rFonts w:ascii="仿宋_GB2312" w:hAnsi="仿宋_GB2312" w:cs="仿宋_GB2312" w:eastAsia="仿宋_GB2312"/>
                      <w:sz w:val="19"/>
                    </w:rPr>
                    <w:t>c.配水主管路采用串联方式，各仪器之间管路采用并联方式，每台仪器从各自的取样杯中取水，任何仪器的配水管路出现故障不能影响其他仪器的测试；</w:t>
                  </w:r>
                </w:p>
                <w:p>
                  <w:pPr>
                    <w:pStyle w:val="null3"/>
                  </w:pPr>
                  <w:r>
                    <w:rPr>
                      <w:rFonts w:ascii="仿宋_GB2312" w:hAnsi="仿宋_GB2312" w:cs="仿宋_GB2312" w:eastAsia="仿宋_GB2312"/>
                      <w:sz w:val="19"/>
                    </w:rPr>
                    <w:t xml:space="preserve">d.具备可扩展功能，水站预留不少于 4 台设备的接水口、排水口以及水样比对实验用的手动取水口；  </w:t>
                  </w:r>
                </w:p>
                <w:p>
                  <w:pPr>
                    <w:pStyle w:val="null3"/>
                  </w:pPr>
                  <w:r>
                    <w:rPr>
                      <w:rFonts w:ascii="仿宋_GB2312" w:hAnsi="仿宋_GB2312" w:cs="仿宋_GB2312" w:eastAsia="仿宋_GB2312"/>
                      <w:sz w:val="19"/>
                    </w:rPr>
                    <w:t>e.能配合系统实现水样自动分配、自动预处理、故障自动报警、关键部件工作状态的显示和反控等功能；</w:t>
                  </w:r>
                </w:p>
                <w:p>
                  <w:pPr>
                    <w:pStyle w:val="null3"/>
                  </w:pPr>
                  <w:r>
                    <w:rPr>
                      <w:rFonts w:ascii="仿宋_GB2312" w:hAnsi="仿宋_GB2312" w:cs="仿宋_GB2312" w:eastAsia="仿宋_GB2312"/>
                      <w:sz w:val="19"/>
                    </w:rPr>
                    <w:t>f.配水单元的所有操作均可通过控制单元实现，并接受平台端的远程控制；</w:t>
                  </w:r>
                </w:p>
                <w:p>
                  <w:pPr>
                    <w:pStyle w:val="null3"/>
                  </w:pPr>
                  <w:r>
                    <w:rPr>
                      <w:rFonts w:ascii="仿宋_GB2312" w:hAnsi="仿宋_GB2312" w:cs="仿宋_GB2312" w:eastAsia="仿宋_GB2312"/>
                      <w:sz w:val="19"/>
                    </w:rPr>
                    <w:t>g.所选管材机械强度及化学稳定性好、使用寿命长、便于安装维护，不会对水样水质造成影响；管路内径、压力、流量、流速满足仪器分析需要，并留有余量。</w:t>
                  </w:r>
                </w:p>
                <w:p>
                  <w:pPr>
                    <w:pStyle w:val="null3"/>
                  </w:pPr>
                  <w:r>
                    <w:rPr>
                      <w:rFonts w:ascii="仿宋_GB2312" w:hAnsi="仿宋_GB2312" w:cs="仿宋_GB2312" w:eastAsia="仿宋_GB2312"/>
                      <w:sz w:val="19"/>
                    </w:rPr>
                    <w:t>2）预处理单元</w:t>
                  </w:r>
                </w:p>
                <w:p>
                  <w:pPr>
                    <w:pStyle w:val="null3"/>
                  </w:pPr>
                  <w:r>
                    <w:rPr>
                      <w:rFonts w:ascii="仿宋_GB2312" w:hAnsi="仿宋_GB2312" w:cs="仿宋_GB2312" w:eastAsia="仿宋_GB2312"/>
                      <w:sz w:val="19"/>
                    </w:rPr>
                    <w:t>a.水样进入水质分析仪表前进行预处理，在不影响测定准确度的同时确保不影响测定仪器的正常稳定运行，并保证每次分析样品的代表性。</w:t>
                  </w:r>
                </w:p>
                <w:p>
                  <w:pPr>
                    <w:pStyle w:val="null3"/>
                  </w:pPr>
                  <w:r>
                    <w:rPr>
                      <w:rFonts w:ascii="仿宋_GB2312" w:hAnsi="仿宋_GB2312" w:cs="仿宋_GB2312" w:eastAsia="仿宋_GB2312"/>
                      <w:sz w:val="19"/>
                    </w:rPr>
                    <w:t>b.预处理单元配置有相关的液位监测装置，保证在特殊情况下的系统自我保护和及时发出相关警报。</w:t>
                  </w:r>
                </w:p>
                <w:p>
                  <w:pPr>
                    <w:pStyle w:val="null3"/>
                  </w:pPr>
                  <w:r>
                    <w:rPr>
                      <w:rFonts w:ascii="仿宋_GB2312" w:hAnsi="仿宋_GB2312" w:cs="仿宋_GB2312" w:eastAsia="仿宋_GB2312"/>
                      <w:sz w:val="19"/>
                    </w:rPr>
                    <w:t>c.具备自动反清洗功能，预处理单元的自动运行及定时反清洗由控制系统控制，并能够在中心站计算机的控制画面中通过指令来切换预处理单元是处于自动运行状态还是反清洗状态。</w:t>
                  </w:r>
                </w:p>
                <w:p>
                  <w:pPr>
                    <w:pStyle w:val="null3"/>
                  </w:pPr>
                  <w:r>
                    <w:rPr>
                      <w:rFonts w:ascii="仿宋_GB2312" w:hAnsi="仿宋_GB2312" w:cs="仿宋_GB2312" w:eastAsia="仿宋_GB2312"/>
                      <w:sz w:val="19"/>
                    </w:rPr>
                    <w:t>d.预处理单元能在系统停电恢复并自动启动后按照采集控制器的控制时序自动启动。</w:t>
                  </w:r>
                </w:p>
                <w:p>
                  <w:pPr>
                    <w:pStyle w:val="null3"/>
                  </w:pPr>
                  <w:r>
                    <w:rPr>
                      <w:rFonts w:ascii="仿宋_GB2312" w:hAnsi="仿宋_GB2312" w:cs="仿宋_GB2312" w:eastAsia="仿宋_GB2312"/>
                      <w:sz w:val="19"/>
                    </w:rPr>
                    <w:t>e.由于预处理单元关系到整个仪表分析系统的可靠性，因此预处理的阀组件采用优质气动阀或电动阀。</w:t>
                  </w:r>
                </w:p>
                <w:p>
                  <w:pPr>
                    <w:pStyle w:val="null3"/>
                  </w:pPr>
                  <w:r>
                    <w:rPr>
                      <w:rFonts w:ascii="仿宋_GB2312" w:hAnsi="仿宋_GB2312" w:cs="仿宋_GB2312" w:eastAsia="仿宋_GB2312"/>
                      <w:sz w:val="19"/>
                    </w:rPr>
                    <w:t>f.除多参数以外，其它参数采用能满足分析仪表要求的多级预处理系统，并具备清沙、排沙功能的装置。</w:t>
                  </w:r>
                </w:p>
                <w:p>
                  <w:pPr>
                    <w:pStyle w:val="null3"/>
                  </w:pPr>
                  <w:r>
                    <w:rPr>
                      <w:rFonts w:ascii="仿宋_GB2312" w:hAnsi="仿宋_GB2312" w:cs="仿宋_GB2312" w:eastAsia="仿宋_GB2312"/>
                      <w:sz w:val="19"/>
                    </w:rPr>
                    <w:t>g.管路采用排空设计，即将水样送入仪表和备用水箱后，将管路中水样自动排空等待下一次取水过程，配备手动排空装置。</w:t>
                  </w:r>
                </w:p>
                <w:p>
                  <w:pPr>
                    <w:pStyle w:val="null3"/>
                  </w:pPr>
                  <w:r>
                    <w:rPr>
                      <w:rFonts w:ascii="仿宋_GB2312" w:hAnsi="仿宋_GB2312" w:cs="仿宋_GB2312" w:eastAsia="仿宋_GB2312"/>
                      <w:sz w:val="19"/>
                    </w:rPr>
                    <w:t>h.设计除藻流程。能够有效杀死管道中的藻类，减少管壁积藻现象。</w:t>
                  </w:r>
                </w:p>
                <w:p>
                  <w:pPr>
                    <w:pStyle w:val="null3"/>
                  </w:pPr>
                  <w:r>
                    <w:rPr>
                      <w:rFonts w:ascii="仿宋_GB2312" w:hAnsi="仿宋_GB2312" w:cs="仿宋_GB2312" w:eastAsia="仿宋_GB2312"/>
                      <w:sz w:val="19"/>
                    </w:rPr>
                    <w:t>i.可根据配套仪表对过滤的不同要求选用不同规格的金属膜，各连接口尺寸与分析仪器和系统管道配合。</w:t>
                  </w:r>
                </w:p>
                <w:p>
                  <w:pPr>
                    <w:pStyle w:val="null3"/>
                  </w:pPr>
                  <w:r>
                    <w:rPr>
                      <w:rFonts w:ascii="仿宋_GB2312" w:hAnsi="仿宋_GB2312" w:cs="仿宋_GB2312" w:eastAsia="仿宋_GB2312"/>
                      <w:sz w:val="19"/>
                    </w:rPr>
                    <w:t>j.预留超标水样自动收集装置接口，配置超标留样设备后能对超标水样进行自动收集。</w:t>
                  </w:r>
                </w:p>
                <w:p>
                  <w:pPr>
                    <w:pStyle w:val="null3"/>
                  </w:pPr>
                  <w:r>
                    <w:rPr>
                      <w:rFonts w:ascii="仿宋_GB2312" w:hAnsi="仿宋_GB2312" w:cs="仿宋_GB2312" w:eastAsia="仿宋_GB2312"/>
                      <w:sz w:val="19"/>
                    </w:rPr>
                    <w:t>k.预处理单元的自动运行和自动清洗由基站控制管理系统控制，也可由中心站通过指令由基站控制管理系统实施实时控制。</w:t>
                  </w:r>
                </w:p>
                <w:p>
                  <w:pPr>
                    <w:pStyle w:val="null3"/>
                  </w:pPr>
                  <w:r>
                    <w:rPr>
                      <w:rFonts w:ascii="仿宋_GB2312" w:hAnsi="仿宋_GB2312" w:cs="仿宋_GB2312" w:eastAsia="仿宋_GB2312"/>
                      <w:sz w:val="19"/>
                    </w:rPr>
                    <w:t>l.可显示取样单元管路的压力或流量，具有独立的水量控制手阀，并能对压力和流量进行调节控制，能记录系统参数配置及运行状态。</w:t>
                  </w:r>
                </w:p>
                <w:p>
                  <w:pPr>
                    <w:pStyle w:val="null3"/>
                  </w:pPr>
                  <w:r>
                    <w:rPr>
                      <w:rFonts w:ascii="仿宋_GB2312" w:hAnsi="仿宋_GB2312" w:cs="仿宋_GB2312" w:eastAsia="仿宋_GB2312"/>
                      <w:sz w:val="19"/>
                    </w:rPr>
                    <w:t>m.预处理单元采用一体化结构，所有设备均安装于屏蔽机柜内（电源、空压机、除藻器除外）</w:t>
                  </w:r>
                </w:p>
              </w:tc>
              <w:tc>
                <w:tcPr>
                  <w:tcW w:type="dxa" w:w="365"/>
                </w:tcPr>
                <w:p>
                  <w:pPr>
                    <w:pStyle w:val="null3"/>
                  </w:pPr>
                  <w:r>
                    <w:rPr>
                      <w:rFonts w:ascii="仿宋_GB2312" w:hAnsi="仿宋_GB2312" w:cs="仿宋_GB2312" w:eastAsia="仿宋_GB2312"/>
                      <w:sz w:val="19"/>
                    </w:rPr>
                    <w:t>1</w:t>
                  </w:r>
                </w:p>
              </w:tc>
              <w:tc>
                <w:tcPr>
                  <w:tcW w:type="dxa" w:w="365"/>
                </w:tcPr>
                <w:p>
                  <w:pPr>
                    <w:pStyle w:val="null3"/>
                  </w:pPr>
                  <w:r>
                    <w:rPr>
                      <w:rFonts w:ascii="仿宋_GB2312" w:hAnsi="仿宋_GB2312" w:cs="仿宋_GB2312" w:eastAsia="仿宋_GB2312"/>
                      <w:sz w:val="19"/>
                    </w:rPr>
                    <w:t>套</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控制单元</w:t>
                  </w:r>
                </w:p>
              </w:tc>
              <w:tc>
                <w:tcPr>
                  <w:tcW w:type="dxa" w:w="730"/>
                  <w:gridSpan w:val="2"/>
                </w:tcPr>
                <w:p>
                  <w:pPr>
                    <w:pStyle w:val="null3"/>
                  </w:pPr>
                  <w:r>
                    <w:rPr>
                      <w:rFonts w:ascii="仿宋_GB2312" w:hAnsi="仿宋_GB2312" w:cs="仿宋_GB2312" w:eastAsia="仿宋_GB2312"/>
                      <w:sz w:val="19"/>
                    </w:rPr>
                    <w:t>控制单元对采水单元、配水及预处理单元、分析单元、留样单元、辅助单元及视频单元进行控制，并实现数据采集与传输功能，保证系统连续、可靠和安全运行。</w:t>
                  </w:r>
                </w:p>
                <w:p>
                  <w:pPr>
                    <w:pStyle w:val="null3"/>
                  </w:pPr>
                  <w:r>
                    <w:rPr>
                      <w:rFonts w:ascii="仿宋_GB2312" w:hAnsi="仿宋_GB2312" w:cs="仿宋_GB2312" w:eastAsia="仿宋_GB2312"/>
                      <w:sz w:val="19"/>
                    </w:rPr>
                    <w:t>1）功能要求</w:t>
                  </w:r>
                </w:p>
                <w:p>
                  <w:pPr>
                    <w:pStyle w:val="null3"/>
                  </w:pPr>
                  <w:r>
                    <w:rPr>
                      <w:rFonts w:ascii="仿宋_GB2312" w:hAnsi="仿宋_GB2312" w:cs="仿宋_GB2312" w:eastAsia="仿宋_GB2312"/>
                      <w:sz w:val="19"/>
                    </w:rPr>
                    <w:t>a.具有断电保护功能，能够在断电时保存系统参数和历史数据，在来电时自动恢复系统；</w:t>
                  </w:r>
                </w:p>
                <w:p>
                  <w:pPr>
                    <w:pStyle w:val="null3"/>
                  </w:pPr>
                  <w:r>
                    <w:rPr>
                      <w:rFonts w:ascii="仿宋_GB2312" w:hAnsi="仿宋_GB2312" w:cs="仿宋_GB2312" w:eastAsia="仿宋_GB2312"/>
                      <w:sz w:val="19"/>
                    </w:rPr>
                    <w:t>b.具备自动采集数据功能，包括自动采集水质自动分析仪器数据、集成控制数据等，采集的数据应自动添加数据标识，异常监测数据能自动识别，并主动上传至中心平台；</w:t>
                  </w:r>
                </w:p>
                <w:p>
                  <w:pPr>
                    <w:pStyle w:val="null3"/>
                  </w:pPr>
                  <w:r>
                    <w:rPr>
                      <w:rFonts w:ascii="仿宋_GB2312" w:hAnsi="仿宋_GB2312" w:cs="仿宋_GB2312" w:eastAsia="仿宋_GB2312"/>
                      <w:sz w:val="19"/>
                    </w:rPr>
                    <w:t>c.具备单点控制功能，能够对单一控制点（阀、泵等）进行调试；</w:t>
                  </w:r>
                </w:p>
                <w:p>
                  <w:pPr>
                    <w:pStyle w:val="null3"/>
                  </w:pPr>
                  <w:r>
                    <w:rPr>
                      <w:rFonts w:ascii="仿宋_GB2312" w:hAnsi="仿宋_GB2312" w:cs="仿宋_GB2312" w:eastAsia="仿宋_GB2312"/>
                      <w:sz w:val="19"/>
                    </w:rPr>
                    <w:t>d.具备对自动分析仪器的启停、校时、校准、质控测试等控制功能；</w:t>
                  </w:r>
                </w:p>
                <w:p>
                  <w:pPr>
                    <w:pStyle w:val="null3"/>
                  </w:pPr>
                  <w:r>
                    <w:rPr>
                      <w:rFonts w:ascii="仿宋_GB2312" w:hAnsi="仿宋_GB2312" w:cs="仿宋_GB2312" w:eastAsia="仿宋_GB2312"/>
                      <w:sz w:val="19"/>
                    </w:rPr>
                    <w:t>e.具备对留样单元的留样、排样的控制功能；</w:t>
                  </w:r>
                </w:p>
                <w:p>
                  <w:pPr>
                    <w:pStyle w:val="null3"/>
                  </w:pPr>
                  <w:r>
                    <w:rPr>
                      <w:rFonts w:ascii="仿宋_GB2312" w:hAnsi="仿宋_GB2312" w:cs="仿宋_GB2312" w:eastAsia="仿宋_GB2312"/>
                      <w:sz w:val="19"/>
                    </w:rPr>
                    <w:t>能够兼容视频监控设备并能实现对视频设备进行校时、重新启动、参数设置、软件升级、远程维护等功能；</w:t>
                  </w:r>
                </w:p>
                <w:p>
                  <w:pPr>
                    <w:pStyle w:val="null3"/>
                  </w:pPr>
                  <w:r>
                    <w:rPr>
                      <w:rFonts w:ascii="仿宋_GB2312" w:hAnsi="仿宋_GB2312" w:cs="仿宋_GB2312" w:eastAsia="仿宋_GB2312"/>
                      <w:sz w:val="19"/>
                    </w:rPr>
                    <w:t>f.具备参数设置功能，能够对小数位、单位、仪器测定上下限、报警（超标）上下限等参数进行设置；</w:t>
                  </w:r>
                </w:p>
                <w:p>
                  <w:pPr>
                    <w:pStyle w:val="null3"/>
                  </w:pPr>
                  <w:r>
                    <w:rPr>
                      <w:rFonts w:ascii="仿宋_GB2312" w:hAnsi="仿宋_GB2312" w:cs="仿宋_GB2312" w:eastAsia="仿宋_GB2312"/>
                      <w:sz w:val="19"/>
                    </w:rPr>
                    <w:t>g.具备各仪器监测结果、状态参数、运行流程、报警信息等显示的功能；具有监测数据查询、导出、自动备份功能，可分类查询水质周期数据、质控数据（空白测试数据、标样核查数据、加标回收率数据等）及其对应的仪器、系统日志流程信息。</w:t>
                  </w:r>
                </w:p>
                <w:p>
                  <w:pPr>
                    <w:pStyle w:val="null3"/>
                  </w:pPr>
                  <w:r>
                    <w:rPr>
                      <w:rFonts w:ascii="仿宋_GB2312" w:hAnsi="仿宋_GB2312" w:cs="仿宋_GB2312" w:eastAsia="仿宋_GB2312"/>
                      <w:sz w:val="19"/>
                    </w:rPr>
                    <w:t>计算机要求：CPU主频≥2.0GHz、内存≥2GB，硬盘容量≥500GB，显示器≥12英寸，通讯接口：不少于8 个RS232/485 COM 口，不少于2个网口。</w:t>
                  </w:r>
                </w:p>
                <w:p>
                  <w:pPr>
                    <w:pStyle w:val="null3"/>
                  </w:pPr>
                  <w:r>
                    <w:rPr>
                      <w:rFonts w:ascii="仿宋_GB2312" w:hAnsi="仿宋_GB2312" w:cs="仿宋_GB2312" w:eastAsia="仿宋_GB2312"/>
                      <w:sz w:val="19"/>
                    </w:rPr>
                    <w:t>控制器输入输出接口满足需求且余量不少于4路，以便以后扩展。</w:t>
                  </w:r>
                </w:p>
                <w:p>
                  <w:pPr>
                    <w:pStyle w:val="null3"/>
                  </w:pPr>
                  <w:r>
                    <w:rPr>
                      <w:rFonts w:ascii="仿宋_GB2312" w:hAnsi="仿宋_GB2312" w:cs="仿宋_GB2312" w:eastAsia="仿宋_GB2312"/>
                      <w:sz w:val="19"/>
                    </w:rPr>
                    <w:t>符合抗电磁辐射、电磁感应的相关规定，具备电源隔离和信号隔离措施。</w:t>
                  </w:r>
                </w:p>
              </w:tc>
              <w:tc>
                <w:tcPr>
                  <w:tcW w:type="dxa" w:w="365"/>
                </w:tcPr>
                <w:p>
                  <w:pPr>
                    <w:pStyle w:val="null3"/>
                  </w:pPr>
                  <w:r>
                    <w:rPr>
                      <w:rFonts w:ascii="仿宋_GB2312" w:hAnsi="仿宋_GB2312" w:cs="仿宋_GB2312" w:eastAsia="仿宋_GB2312"/>
                      <w:sz w:val="19"/>
                    </w:rPr>
                    <w:t>1</w:t>
                  </w:r>
                </w:p>
              </w:tc>
              <w:tc>
                <w:tcPr>
                  <w:tcW w:type="dxa" w:w="365"/>
                </w:tcPr>
                <w:p>
                  <w:pPr>
                    <w:pStyle w:val="null3"/>
                  </w:pPr>
                  <w:r>
                    <w:rPr>
                      <w:rFonts w:ascii="仿宋_GB2312" w:hAnsi="仿宋_GB2312" w:cs="仿宋_GB2312" w:eastAsia="仿宋_GB2312"/>
                      <w:sz w:val="19"/>
                    </w:rPr>
                    <w:t>套</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质控单元</w:t>
                  </w:r>
                </w:p>
              </w:tc>
              <w:tc>
                <w:tcPr>
                  <w:tcW w:type="dxa" w:w="730"/>
                  <w:gridSpan w:val="2"/>
                </w:tcPr>
                <w:p>
                  <w:pPr>
                    <w:pStyle w:val="null3"/>
                  </w:pPr>
                  <w:r>
                    <w:rPr>
                      <w:rFonts w:ascii="仿宋_GB2312" w:hAnsi="仿宋_GB2312" w:cs="仿宋_GB2312" w:eastAsia="仿宋_GB2312"/>
                      <w:sz w:val="19"/>
                    </w:rPr>
                    <w:t>1.能够实现空白测试、平行样测试、自动标样核查、加标回收率测试、动态密码加标、自动零点核查、自动跨度核查、24 小时零点漂移、 24 小时跨度漂移等质控功能并具备远程质控功能；具备动态密码样加标功能，可以根据水样测量值不同而自动调整加标体积；具有自动诊断功能，数据出现异常波动时，自动追加相应质控措施。</w:t>
                  </w:r>
                </w:p>
                <w:p>
                  <w:pPr>
                    <w:pStyle w:val="null3"/>
                  </w:pPr>
                  <w:r>
                    <w:rPr>
                      <w:rFonts w:ascii="仿宋_GB2312" w:hAnsi="仿宋_GB2312" w:cs="仿宋_GB2312" w:eastAsia="仿宋_GB2312"/>
                      <w:sz w:val="19"/>
                    </w:rPr>
                    <w:t>2.空白核查和标样核查配有单独的管路，可根据实际情况任意调整核查液浓度；</w:t>
                  </w:r>
                </w:p>
                <w:p>
                  <w:pPr>
                    <w:pStyle w:val="null3"/>
                  </w:pPr>
                  <w:r>
                    <w:rPr>
                      <w:rFonts w:ascii="仿宋_GB2312" w:hAnsi="仿宋_GB2312" w:cs="仿宋_GB2312" w:eastAsia="仿宋_GB2312"/>
                      <w:sz w:val="19"/>
                    </w:rPr>
                    <w:t>3.加标回收率的标液浓度和标液体积可进行任意设置，同时系统可根据实际水样的测量结果智能调整标液的加入量，确保加标回收率测试过程与实验室保持一致。</w:t>
                  </w:r>
                </w:p>
              </w:tc>
              <w:tc>
                <w:tcPr>
                  <w:tcW w:type="dxa" w:w="365"/>
                </w:tcPr>
                <w:p>
                  <w:pPr>
                    <w:pStyle w:val="null3"/>
                  </w:pPr>
                  <w:r>
                    <w:rPr>
                      <w:rFonts w:ascii="仿宋_GB2312" w:hAnsi="仿宋_GB2312" w:cs="仿宋_GB2312" w:eastAsia="仿宋_GB2312"/>
                      <w:sz w:val="19"/>
                    </w:rPr>
                    <w:t>1</w:t>
                  </w:r>
                </w:p>
              </w:tc>
              <w:tc>
                <w:tcPr>
                  <w:tcW w:type="dxa" w:w="365"/>
                </w:tcPr>
                <w:p>
                  <w:pPr>
                    <w:pStyle w:val="null3"/>
                  </w:pPr>
                  <w:r>
                    <w:rPr>
                      <w:rFonts w:ascii="仿宋_GB2312" w:hAnsi="仿宋_GB2312" w:cs="仿宋_GB2312" w:eastAsia="仿宋_GB2312"/>
                      <w:sz w:val="19"/>
                    </w:rPr>
                    <w:t>套</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留样单元</w:t>
                  </w:r>
                </w:p>
              </w:tc>
              <w:tc>
                <w:tcPr>
                  <w:tcW w:type="dxa" w:w="730"/>
                  <w:gridSpan w:val="2"/>
                </w:tcPr>
                <w:p>
                  <w:pPr>
                    <w:pStyle w:val="null3"/>
                  </w:pPr>
                  <w:r>
                    <w:rPr>
                      <w:rFonts w:ascii="仿宋_GB2312" w:hAnsi="仿宋_GB2312" w:cs="仿宋_GB2312" w:eastAsia="仿宋_GB2312"/>
                      <w:sz w:val="19"/>
                    </w:rPr>
                    <w:t>1.具备水样冷藏功能，温度在 4±2 ℃；</w:t>
                  </w:r>
                </w:p>
                <w:p>
                  <w:pPr>
                    <w:pStyle w:val="null3"/>
                  </w:pPr>
                  <w:r>
                    <w:rPr>
                      <w:rFonts w:ascii="仿宋_GB2312" w:hAnsi="仿宋_GB2312" w:cs="仿宋_GB2312" w:eastAsia="仿宋_GB2312"/>
                      <w:sz w:val="19"/>
                    </w:rPr>
                    <w:t>2.留样瓶由惰性材料制成，易清洗，容量应≥500mL，瓶数≥12 个，采样后可封闭；</w:t>
                  </w:r>
                </w:p>
                <w:p>
                  <w:pPr>
                    <w:pStyle w:val="null3"/>
                  </w:pPr>
                  <w:r>
                    <w:rPr>
                      <w:rFonts w:ascii="仿宋_GB2312" w:hAnsi="仿宋_GB2312" w:cs="仿宋_GB2312" w:eastAsia="仿宋_GB2312"/>
                      <w:sz w:val="19"/>
                    </w:rPr>
                    <w:t>3.具有留样前自动润洗，留样后自动排空的功能；</w:t>
                  </w:r>
                </w:p>
                <w:p>
                  <w:pPr>
                    <w:pStyle w:val="null3"/>
                  </w:pPr>
                  <w:r>
                    <w:rPr>
                      <w:rFonts w:ascii="仿宋_GB2312" w:hAnsi="仿宋_GB2312" w:cs="仿宋_GB2312" w:eastAsia="仿宋_GB2312"/>
                      <w:sz w:val="19"/>
                    </w:rPr>
                    <w:t>4.配置门禁系统并具备开关门记录功能；</w:t>
                  </w:r>
                </w:p>
                <w:p>
                  <w:pPr>
                    <w:pStyle w:val="null3"/>
                  </w:pPr>
                  <w:r>
                    <w:rPr>
                      <w:rFonts w:ascii="仿宋_GB2312" w:hAnsi="仿宋_GB2312" w:cs="仿宋_GB2312" w:eastAsia="仿宋_GB2312"/>
                      <w:sz w:val="19"/>
                    </w:rPr>
                    <w:t>5.具有留样失败报警功能。</w:t>
                  </w:r>
                </w:p>
              </w:tc>
              <w:tc>
                <w:tcPr>
                  <w:tcW w:type="dxa" w:w="365"/>
                </w:tcPr>
                <w:p>
                  <w:pPr>
                    <w:pStyle w:val="null3"/>
                  </w:pPr>
                  <w:r>
                    <w:rPr>
                      <w:rFonts w:ascii="仿宋_GB2312" w:hAnsi="仿宋_GB2312" w:cs="仿宋_GB2312" w:eastAsia="仿宋_GB2312"/>
                      <w:sz w:val="19"/>
                    </w:rPr>
                    <w:t>1</w:t>
                  </w:r>
                </w:p>
              </w:tc>
              <w:tc>
                <w:tcPr>
                  <w:tcW w:type="dxa" w:w="365"/>
                </w:tcPr>
                <w:p>
                  <w:pPr>
                    <w:pStyle w:val="null3"/>
                  </w:pPr>
                  <w:r>
                    <w:rPr>
                      <w:rFonts w:ascii="仿宋_GB2312" w:hAnsi="仿宋_GB2312" w:cs="仿宋_GB2312" w:eastAsia="仿宋_GB2312"/>
                      <w:sz w:val="19"/>
                    </w:rPr>
                    <w:t>套</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辅助单元</w:t>
                  </w:r>
                </w:p>
              </w:tc>
              <w:tc>
                <w:tcPr>
                  <w:tcW w:type="dxa" w:w="730"/>
                  <w:gridSpan w:val="2"/>
                </w:tcPr>
                <w:p>
                  <w:pPr>
                    <w:pStyle w:val="null3"/>
                  </w:pPr>
                  <w:r>
                    <w:rPr>
                      <w:rFonts w:ascii="仿宋_GB2312" w:hAnsi="仿宋_GB2312" w:cs="仿宋_GB2312" w:eastAsia="仿宋_GB2312"/>
                      <w:sz w:val="19"/>
                    </w:rPr>
                    <w:t>辅助单元包含UPS不间断电源、稳压电源、防雷单元、废液单元、自动灭火装置、环境监控系统等部分，具体要求如下：</w:t>
                  </w:r>
                </w:p>
                <w:p>
                  <w:pPr>
                    <w:pStyle w:val="null3"/>
                  </w:pPr>
                  <w:r>
                    <w:rPr>
                      <w:rFonts w:ascii="仿宋_GB2312" w:hAnsi="仿宋_GB2312" w:cs="仿宋_GB2312" w:eastAsia="仿宋_GB2312"/>
                      <w:sz w:val="19"/>
                    </w:rPr>
                    <w:t>（1）UPS不间断电源</w:t>
                  </w:r>
                </w:p>
                <w:p>
                  <w:pPr>
                    <w:pStyle w:val="null3"/>
                  </w:pPr>
                  <w:r>
                    <w:rPr>
                      <w:rFonts w:ascii="仿宋_GB2312" w:hAnsi="仿宋_GB2312" w:cs="仿宋_GB2312" w:eastAsia="仿宋_GB2312"/>
                      <w:sz w:val="19"/>
                    </w:rPr>
                    <w:t>在线式 UPS 电源总功率 3KW，采用模块化设计，输入功率因数满载时≥0.99，输入电流谐波满载时≤5%，输出电压失真度&lt;6%（100%非线性负载），UPS 的输出功率因数≥0.8；容量：3KVA；工作温度：0℃～40℃；储运温度：-25℃～+55℃；工作相对湿度：≤95%（无凝露）；报警功能：电池低压、市电异常、UPS 故障、输出过载、输出短路；保护功能：电池欠压保护、过载保护、短路保护、过温保护。工作时长：可保证断电后工业控制计算机继续运行 4 小时。</w:t>
                  </w:r>
                </w:p>
                <w:p>
                  <w:pPr>
                    <w:pStyle w:val="null3"/>
                  </w:pPr>
                  <w:r>
                    <w:rPr>
                      <w:rFonts w:ascii="仿宋_GB2312" w:hAnsi="仿宋_GB2312" w:cs="仿宋_GB2312" w:eastAsia="仿宋_GB2312"/>
                      <w:sz w:val="19"/>
                    </w:rPr>
                    <w:t>（2）稳压电源参数要求：功率≥10 KW</w:t>
                  </w:r>
                </w:p>
                <w:p>
                  <w:pPr>
                    <w:pStyle w:val="null3"/>
                  </w:pPr>
                  <w:r>
                    <w:rPr>
                      <w:rFonts w:ascii="仿宋_GB2312" w:hAnsi="仿宋_GB2312" w:cs="仿宋_GB2312" w:eastAsia="仿宋_GB2312"/>
                      <w:sz w:val="19"/>
                    </w:rPr>
                    <w:t>相数：三相；欠压保护相电压 （180±8）V</w:t>
                  </w:r>
                </w:p>
                <w:p>
                  <w:pPr>
                    <w:pStyle w:val="null3"/>
                  </w:pPr>
                  <w:r>
                    <w:rPr>
                      <w:rFonts w:ascii="仿宋_GB2312" w:hAnsi="仿宋_GB2312" w:cs="仿宋_GB2312" w:eastAsia="仿宋_GB2312"/>
                      <w:sz w:val="19"/>
                    </w:rPr>
                    <w:t>过压保护相电压：（246±8）V；调压速度 s：＜（3-6）s；频率：50Hz；环境温度：-5℃~+45℃；相对湿度：不大于 90%</w:t>
                  </w:r>
                </w:p>
                <w:p>
                  <w:pPr>
                    <w:pStyle w:val="null3"/>
                  </w:pPr>
                  <w:r>
                    <w:rPr>
                      <w:rFonts w:ascii="仿宋_GB2312" w:hAnsi="仿宋_GB2312" w:cs="仿宋_GB2312" w:eastAsia="仿宋_GB2312"/>
                      <w:sz w:val="19"/>
                    </w:rPr>
                    <w:t>（3）防雷单元：必须具有电源、信号等设施的三级防雷措施，保证系统稳定、可靠运行。</w:t>
                  </w:r>
                </w:p>
                <w:p>
                  <w:pPr>
                    <w:pStyle w:val="null3"/>
                  </w:pPr>
                  <w:r>
                    <w:rPr>
                      <w:rFonts w:ascii="仿宋_GB2312" w:hAnsi="仿宋_GB2312" w:cs="仿宋_GB2312" w:eastAsia="仿宋_GB2312"/>
                      <w:sz w:val="19"/>
                    </w:rPr>
                    <w:t>（4）废液单元：贮存按照相应的规定执行；</w:t>
                  </w:r>
                </w:p>
                <w:p>
                  <w:pPr>
                    <w:pStyle w:val="null3"/>
                  </w:pPr>
                  <w:r>
                    <w:rPr>
                      <w:rFonts w:ascii="仿宋_GB2312" w:hAnsi="仿宋_GB2312" w:cs="仿宋_GB2312" w:eastAsia="仿宋_GB2312"/>
                      <w:sz w:val="19"/>
                    </w:rPr>
                    <w:t>（5）配备环境监控系统：包括温湿度感探测器、红外探测器、冷暖柜式空调。</w:t>
                  </w:r>
                </w:p>
                <w:p>
                  <w:pPr>
                    <w:pStyle w:val="null3"/>
                  </w:pPr>
                  <w:r>
                    <w:rPr>
                      <w:rFonts w:ascii="仿宋_GB2312" w:hAnsi="仿宋_GB2312" w:cs="仿宋_GB2312" w:eastAsia="仿宋_GB2312"/>
                      <w:sz w:val="19"/>
                    </w:rPr>
                    <w:t>（6）试剂恒温储存冰箱：灵敏度为 0.5℃，保证分析仪器运行时所用的化学试剂处于±2℃低温保存，具备试剂保存、温度采集、上传与报警功能。</w:t>
                  </w:r>
                </w:p>
              </w:tc>
              <w:tc>
                <w:tcPr>
                  <w:tcW w:type="dxa" w:w="365"/>
                </w:tcPr>
                <w:p>
                  <w:pPr>
                    <w:pStyle w:val="null3"/>
                  </w:pPr>
                  <w:r>
                    <w:rPr>
                      <w:rFonts w:ascii="仿宋_GB2312" w:hAnsi="仿宋_GB2312" w:cs="仿宋_GB2312" w:eastAsia="仿宋_GB2312"/>
                      <w:sz w:val="19"/>
                    </w:rPr>
                    <w:t xml:space="preserve"> </w:t>
                  </w:r>
                </w:p>
              </w:tc>
              <w:tc>
                <w:tcPr>
                  <w:tcW w:type="dxa" w:w="365"/>
                </w:tcPr>
                <w:p>
                  <w:pPr>
                    <w:pStyle w:val="null3"/>
                  </w:pPr>
                  <w:r>
                    <w:rPr>
                      <w:rFonts w:ascii="仿宋_GB2312" w:hAnsi="仿宋_GB2312" w:cs="仿宋_GB2312" w:eastAsia="仿宋_GB2312"/>
                      <w:sz w:val="19"/>
                    </w:rPr>
                    <w:t xml:space="preserve"> </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视频监控单元</w:t>
                  </w:r>
                </w:p>
              </w:tc>
              <w:tc>
                <w:tcPr>
                  <w:tcW w:type="dxa" w:w="730"/>
                  <w:gridSpan w:val="2"/>
                </w:tcPr>
                <w:p>
                  <w:pPr>
                    <w:pStyle w:val="null3"/>
                  </w:pPr>
                  <w:r>
                    <w:rPr>
                      <w:rFonts w:ascii="仿宋_GB2312" w:hAnsi="仿宋_GB2312" w:cs="仿宋_GB2312" w:eastAsia="仿宋_GB2312"/>
                      <w:sz w:val="19"/>
                    </w:rPr>
                    <w:t>配置1套视频监控系统，至少包含1台硬盘录像机和3台摄像机，分别监控站房仪表室，站房周边及采水口。站房仪器室采用球型网络红外云台摄像机，站房周边环境和采水口采用云台摄像机，具备现场存储功能，存储周期不低于30日；图像传感器：≥1/3英寸CMOS，≥200 万像素；视频解析度：≥1000TVL；主码流分辨 率及帧率 50Hz:25fps（1920×1080）、25fps（1280×720） 60Hz:30fps（1920×1080）、30fps（1280×720 ）；</w:t>
                  </w:r>
                </w:p>
              </w:tc>
              <w:tc>
                <w:tcPr>
                  <w:tcW w:type="dxa" w:w="365"/>
                </w:tcPr>
                <w:p>
                  <w:pPr>
                    <w:pStyle w:val="null3"/>
                  </w:pPr>
                  <w:r>
                    <w:rPr>
                      <w:rFonts w:ascii="仿宋_GB2312" w:hAnsi="仿宋_GB2312" w:cs="仿宋_GB2312" w:eastAsia="仿宋_GB2312"/>
                      <w:sz w:val="19"/>
                    </w:rPr>
                    <w:t>1</w:t>
                  </w:r>
                </w:p>
              </w:tc>
              <w:tc>
                <w:tcPr>
                  <w:tcW w:type="dxa" w:w="365"/>
                </w:tcPr>
                <w:p>
                  <w:pPr>
                    <w:pStyle w:val="null3"/>
                  </w:pPr>
                  <w:r>
                    <w:rPr>
                      <w:rFonts w:ascii="仿宋_GB2312" w:hAnsi="仿宋_GB2312" w:cs="仿宋_GB2312" w:eastAsia="仿宋_GB2312"/>
                      <w:sz w:val="19"/>
                    </w:rPr>
                    <w:t>套</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安装</w:t>
                  </w:r>
                </w:p>
              </w:tc>
              <w:tc>
                <w:tcPr>
                  <w:tcW w:type="dxa" w:w="730"/>
                  <w:gridSpan w:val="2"/>
                </w:tcPr>
                <w:p>
                  <w:pPr>
                    <w:pStyle w:val="null3"/>
                  </w:pPr>
                  <w:r>
                    <w:rPr>
                      <w:rFonts w:ascii="仿宋_GB2312" w:hAnsi="仿宋_GB2312" w:cs="仿宋_GB2312" w:eastAsia="仿宋_GB2312"/>
                      <w:sz w:val="19"/>
                    </w:rPr>
                    <w:t>（1）按照采购人要求，安装需在合同规定日期内完成；</w:t>
                  </w:r>
                </w:p>
                <w:p>
                  <w:pPr>
                    <w:pStyle w:val="null3"/>
                  </w:pPr>
                  <w:r>
                    <w:rPr>
                      <w:rFonts w:ascii="仿宋_GB2312" w:hAnsi="仿宋_GB2312" w:cs="仿宋_GB2312" w:eastAsia="仿宋_GB2312"/>
                      <w:sz w:val="19"/>
                    </w:rPr>
                    <w:t>（2）项目地点位于黑河水源地保护区内，施工期间需严格按照生态环保要求，做好安全文明施工、垃圾规范处理；</w:t>
                  </w:r>
                </w:p>
                <w:p>
                  <w:pPr>
                    <w:pStyle w:val="null3"/>
                  </w:pPr>
                  <w:r>
                    <w:rPr>
                      <w:rFonts w:ascii="仿宋_GB2312" w:hAnsi="仿宋_GB2312" w:cs="仿宋_GB2312" w:eastAsia="仿宋_GB2312"/>
                      <w:sz w:val="19"/>
                    </w:rPr>
                    <w:t>（3）所有设备必须在中标人和采购人确认的地点进行每批次不低于3台设备的平行性比对测试，测试及评价方法参照《地表水环境质量监测技术规范》（HJ91.2-2022）；</w:t>
                  </w:r>
                </w:p>
                <w:p>
                  <w:pPr>
                    <w:pStyle w:val="null3"/>
                  </w:pPr>
                  <w:r>
                    <w:rPr>
                      <w:rFonts w:ascii="仿宋_GB2312" w:hAnsi="仿宋_GB2312" w:cs="仿宋_GB2312" w:eastAsia="仿宋_GB2312"/>
                      <w:sz w:val="19"/>
                    </w:rPr>
                    <w:t>（4）所有设备抽取不少于30%进行手工比对验收，监测单位由采购人确定，比对费用由中标人承担，采购人监督执行。</w:t>
                  </w:r>
                </w:p>
              </w:tc>
              <w:tc>
                <w:tcPr>
                  <w:tcW w:type="dxa" w:w="730"/>
                  <w:gridSpan w:val="2"/>
                </w:tcPr>
                <w:p>
                  <w:pPr>
                    <w:pStyle w:val="null3"/>
                  </w:pPr>
                  <w:r>
                    <w:rPr>
                      <w:rFonts w:ascii="仿宋_GB2312" w:hAnsi="仿宋_GB2312" w:cs="仿宋_GB2312" w:eastAsia="仿宋_GB2312"/>
                      <w:sz w:val="19"/>
                    </w:rPr>
                    <w:t>以实际为准</w:t>
                  </w:r>
                </w:p>
              </w:tc>
              <w:tc>
                <w:tcPr>
                  <w:tcW w:type="dxa" w:w="365"/>
                </w:tcPr>
                <w:p>
                  <w:pPr>
                    <w:pStyle w:val="null3"/>
                  </w:pPr>
                  <w:r>
                    <w:rPr>
                      <w:rFonts w:ascii="仿宋_GB2312" w:hAnsi="仿宋_GB2312" w:cs="仿宋_GB2312" w:eastAsia="仿宋_GB2312"/>
                      <w:sz w:val="19"/>
                    </w:rPr>
                    <w:t xml:space="preserve"> </w:t>
                  </w:r>
                </w:p>
              </w:tc>
            </w:tr>
            <w:tr>
              <w:tc>
                <w:tcPr>
                  <w:tcW w:type="dxa" w:w="365"/>
                  <w:vMerge/>
                </w:tcPr>
                <w:p/>
              </w:tc>
              <w:tc>
                <w:tcPr>
                  <w:tcW w:type="dxa" w:w="365"/>
                </w:tcPr>
                <w:p>
                  <w:pPr>
                    <w:pStyle w:val="null3"/>
                  </w:pPr>
                  <w:r>
                    <w:rPr>
                      <w:rFonts w:ascii="仿宋_GB2312" w:hAnsi="仿宋_GB2312" w:cs="仿宋_GB2312" w:eastAsia="仿宋_GB2312"/>
                      <w:sz w:val="19"/>
                    </w:rPr>
                    <w:t>运维</w:t>
                  </w:r>
                </w:p>
              </w:tc>
              <w:tc>
                <w:tcPr>
                  <w:tcW w:type="dxa" w:w="730"/>
                  <w:gridSpan w:val="2"/>
                </w:tcPr>
                <w:p>
                  <w:pPr>
                    <w:pStyle w:val="null3"/>
                  </w:pPr>
                  <w:r>
                    <w:rPr>
                      <w:rFonts w:ascii="仿宋_GB2312" w:hAnsi="仿宋_GB2312" w:cs="仿宋_GB2312" w:eastAsia="仿宋_GB2312"/>
                      <w:sz w:val="19"/>
                    </w:rPr>
                    <w:t>提供1年的标准运维（包含电费、网费等）</w:t>
                  </w:r>
                </w:p>
              </w:tc>
              <w:tc>
                <w:tcPr>
                  <w:tcW w:type="dxa" w:w="730"/>
                  <w:gridSpan w:val="2"/>
                </w:tcPr>
                <w:p>
                  <w:pPr>
                    <w:pStyle w:val="null3"/>
                  </w:pPr>
                  <w:r>
                    <w:rPr>
                      <w:rFonts w:ascii="仿宋_GB2312" w:hAnsi="仿宋_GB2312" w:cs="仿宋_GB2312" w:eastAsia="仿宋_GB2312"/>
                      <w:sz w:val="19"/>
                    </w:rPr>
                    <w:t>/</w:t>
                  </w:r>
                </w:p>
              </w:tc>
              <w:tc>
                <w:tcPr>
                  <w:tcW w:type="dxa" w:w="365"/>
                </w:tcPr>
                <w:p>
                  <w:pPr>
                    <w:pStyle w:val="null3"/>
                  </w:pP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参照规范及依据标准：</w:t>
            </w:r>
          </w:p>
          <w:p>
            <w:pPr>
              <w:pStyle w:val="null3"/>
            </w:pPr>
            <w:r>
              <w:rPr>
                <w:rFonts w:ascii="仿宋_GB2312" w:hAnsi="仿宋_GB2312" w:cs="仿宋_GB2312" w:eastAsia="仿宋_GB2312"/>
              </w:rPr>
              <w:t>《水和废水监测分析方法》（第四版）</w:t>
            </w:r>
          </w:p>
          <w:p>
            <w:pPr>
              <w:pStyle w:val="null3"/>
            </w:pPr>
            <w:r>
              <w:rPr>
                <w:rFonts w:ascii="仿宋_GB2312" w:hAnsi="仿宋_GB2312" w:cs="仿宋_GB2312" w:eastAsia="仿宋_GB2312"/>
              </w:rPr>
              <w:t>《地表水监测技术规范》（HJ/T91.2-2022 ）</w:t>
            </w:r>
          </w:p>
          <w:p>
            <w:pPr>
              <w:pStyle w:val="null3"/>
            </w:pPr>
            <w:r>
              <w:rPr>
                <w:rFonts w:ascii="仿宋_GB2312" w:hAnsi="仿宋_GB2312" w:cs="仿宋_GB2312" w:eastAsia="仿宋_GB2312"/>
              </w:rPr>
              <w:t>《pH水质自动分析仪技术要求》（HJ/T96-2003）</w:t>
            </w:r>
          </w:p>
          <w:p>
            <w:pPr>
              <w:pStyle w:val="null3"/>
            </w:pPr>
            <w:r>
              <w:rPr>
                <w:rFonts w:ascii="仿宋_GB2312" w:hAnsi="仿宋_GB2312" w:cs="仿宋_GB2312" w:eastAsia="仿宋_GB2312"/>
              </w:rPr>
              <w:t>《电导率水质自动分析仪技术要求》（HJ/T97-2003）</w:t>
            </w:r>
          </w:p>
          <w:p>
            <w:pPr>
              <w:pStyle w:val="null3"/>
            </w:pPr>
            <w:r>
              <w:rPr>
                <w:rFonts w:ascii="仿宋_GB2312" w:hAnsi="仿宋_GB2312" w:cs="仿宋_GB2312" w:eastAsia="仿宋_GB2312"/>
              </w:rPr>
              <w:t>《浊度水质自动分析仪技术要求》（HJ/T98-2003）</w:t>
            </w:r>
          </w:p>
          <w:p>
            <w:pPr>
              <w:pStyle w:val="null3"/>
            </w:pPr>
            <w:r>
              <w:rPr>
                <w:rFonts w:ascii="仿宋_GB2312" w:hAnsi="仿宋_GB2312" w:cs="仿宋_GB2312" w:eastAsia="仿宋_GB2312"/>
              </w:rPr>
              <w:t>《溶解氧（DO）水质自动分析仪技术要求》（HJ/T99-2003）</w:t>
            </w:r>
          </w:p>
          <w:p>
            <w:pPr>
              <w:pStyle w:val="null3"/>
            </w:pPr>
            <w:r>
              <w:rPr>
                <w:rFonts w:ascii="仿宋_GB2312" w:hAnsi="仿宋_GB2312" w:cs="仿宋_GB2312" w:eastAsia="仿宋_GB2312"/>
              </w:rPr>
              <w:t>《高锰酸盐指数水质自动分析仪技术要求》（HJ/T100-2003）</w:t>
            </w:r>
          </w:p>
          <w:p>
            <w:pPr>
              <w:pStyle w:val="null3"/>
            </w:pPr>
            <w:r>
              <w:rPr>
                <w:rFonts w:ascii="仿宋_GB2312" w:hAnsi="仿宋_GB2312" w:cs="仿宋_GB2312" w:eastAsia="仿宋_GB2312"/>
              </w:rPr>
              <w:t>《总磷自动分析仪技术要求》（HJ/T103-2003）</w:t>
            </w:r>
          </w:p>
          <w:p>
            <w:pPr>
              <w:pStyle w:val="null3"/>
            </w:pPr>
            <w:r>
              <w:rPr>
                <w:rFonts w:ascii="仿宋_GB2312" w:hAnsi="仿宋_GB2312" w:cs="仿宋_GB2312" w:eastAsia="仿宋_GB2312"/>
              </w:rPr>
              <w:t>《氨氮水质在线自动监测仪技术要求及检测方法》（HJ 101-2019）</w:t>
            </w:r>
          </w:p>
          <w:p>
            <w:pPr>
              <w:pStyle w:val="null3"/>
            </w:pPr>
            <w:r>
              <w:rPr>
                <w:rFonts w:ascii="仿宋_GB2312" w:hAnsi="仿宋_GB2312" w:cs="仿宋_GB2312" w:eastAsia="仿宋_GB2312"/>
              </w:rPr>
              <w:t>《总氮水质自动分析仪技术要求》（HJ/T 102-2003）</w:t>
            </w:r>
          </w:p>
          <w:p>
            <w:pPr>
              <w:pStyle w:val="null3"/>
            </w:pPr>
            <w:r>
              <w:rPr>
                <w:rFonts w:ascii="仿宋_GB2312" w:hAnsi="仿宋_GB2312" w:cs="仿宋_GB2312" w:eastAsia="仿宋_GB2312"/>
              </w:rPr>
              <w:t>《化学需氧量（CODCr）水质在线自动监测仪技术要求及检测方法》（HJ 377-2019）</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功能要求：</w:t>
            </w:r>
          </w:p>
          <w:p>
            <w:pPr>
              <w:pStyle w:val="null3"/>
            </w:pPr>
            <w:r>
              <w:rPr>
                <w:rFonts w:ascii="仿宋_GB2312" w:hAnsi="仿宋_GB2312" w:cs="仿宋_GB2312" w:eastAsia="仿宋_GB2312"/>
              </w:rPr>
              <w:t>（1）具有仪器及系统运行周期（连续或间歇）设置功能，至少具备常规、应急、质控、维护等多种运行模式；具备异常数据和超标数据判别功能，在出现异常数据时，系统能自动进入质控模式佐证一次数据，在数据连续超标时，系统能自动进入应急模式加密监测。</w:t>
            </w:r>
          </w:p>
          <w:p>
            <w:pPr>
              <w:pStyle w:val="null3"/>
            </w:pPr>
            <w:r>
              <w:rPr>
                <w:rFonts w:ascii="仿宋_GB2312" w:hAnsi="仿宋_GB2312" w:cs="仿宋_GB2312" w:eastAsia="仿宋_GB2312"/>
              </w:rPr>
              <w:t>（2）具有系统状态(测量、空闲、故障、维护等)显示；具备系统过程日志记录并上传(清洗外管路、取原水、取水成功启动仪器测试、进样管开始进样等以及时间节点显示)，对系统过程的关键节点有记录，满足系统数据溯源的要求；</w:t>
            </w:r>
          </w:p>
          <w:p>
            <w:pPr>
              <w:pStyle w:val="null3"/>
            </w:pPr>
            <w:r>
              <w:rPr>
                <w:rFonts w:ascii="仿宋_GB2312" w:hAnsi="仿宋_GB2312" w:cs="仿宋_GB2312" w:eastAsia="仿宋_GB2312"/>
              </w:rPr>
              <w:t>（3）具有异常信息记录和上传功能，如采水故障、部件故障、超量程报警、超标报警、缺试剂报警等信息；</w:t>
            </w:r>
          </w:p>
          <w:p>
            <w:pPr>
              <w:pStyle w:val="null3"/>
            </w:pPr>
            <w:r>
              <w:rPr>
                <w:rFonts w:ascii="仿宋_GB2312" w:hAnsi="仿宋_GB2312" w:cs="仿宋_GB2312" w:eastAsia="仿宋_GB2312"/>
              </w:rPr>
              <w:t>（4）具备仪器关键参数实时上传及远程设置功能，能接受远程控制指令；</w:t>
            </w:r>
          </w:p>
          <w:p>
            <w:pPr>
              <w:pStyle w:val="null3"/>
            </w:pPr>
            <w:r>
              <w:rPr>
                <w:rFonts w:ascii="仿宋_GB2312" w:hAnsi="仿宋_GB2312" w:cs="仿宋_GB2312" w:eastAsia="仿宋_GB2312"/>
              </w:rPr>
              <w:t>（5）能够实现对高锰酸盐指数、氨氮、总磷、化学需氧量水质自动分析仪器进行自动标样核查、自动加标回收率核查、自动零点核查、自动跨度核查等质控功能，并具备自动留样功能；</w:t>
            </w:r>
          </w:p>
          <w:p>
            <w:pPr>
              <w:pStyle w:val="null3"/>
            </w:pPr>
            <w:r>
              <w:rPr>
                <w:rFonts w:ascii="仿宋_GB2312" w:hAnsi="仿宋_GB2312" w:cs="仿宋_GB2312" w:eastAsia="仿宋_GB2312"/>
              </w:rPr>
              <w:t>（6）确保仪器、系统运行的监测数据和状态信息等稳定传输；</w:t>
            </w:r>
          </w:p>
          <w:p>
            <w:pPr>
              <w:pStyle w:val="null3"/>
            </w:pPr>
            <w:r>
              <w:rPr>
                <w:rFonts w:ascii="仿宋_GB2312" w:hAnsi="仿宋_GB2312" w:cs="仿宋_GB2312" w:eastAsia="仿宋_GB2312"/>
              </w:rPr>
              <w:t>（7）具备停电时自我保护，断电再度通电后自动排空、自动清洗管路；</w:t>
            </w:r>
          </w:p>
          <w:p>
            <w:pPr>
              <w:pStyle w:val="null3"/>
            </w:pPr>
            <w:r>
              <w:rPr>
                <w:rFonts w:ascii="仿宋_GB2312" w:hAnsi="仿宋_GB2312" w:cs="仿宋_GB2312" w:eastAsia="仿宋_GB2312"/>
              </w:rPr>
              <w:t>（8）具有分析仪器及系统过程日志记录和环境参数记录功能，并能够上传至水质自动监管平台；</w:t>
            </w:r>
          </w:p>
          <w:p>
            <w:pPr>
              <w:pStyle w:val="null3"/>
            </w:pPr>
            <w:r>
              <w:rPr>
                <w:rFonts w:ascii="仿宋_GB2312" w:hAnsi="仿宋_GB2312" w:cs="仿宋_GB2312" w:eastAsia="仿宋_GB2312"/>
              </w:rPr>
              <w:t>（9）存储不少于2年的原始数据和运行日志；</w:t>
            </w:r>
          </w:p>
          <w:p>
            <w:pPr>
              <w:pStyle w:val="null3"/>
            </w:pPr>
            <w:r>
              <w:rPr>
                <w:rFonts w:ascii="仿宋_GB2312" w:hAnsi="仿宋_GB2312" w:cs="仿宋_GB2312" w:eastAsia="仿宋_GB2312"/>
              </w:rPr>
              <w:t>（10）水质自动分析仪器（水温、pH、电导率、溶解氧、浊度除外）及控制单元须具有三级管理权限；</w:t>
            </w:r>
          </w:p>
          <w:p>
            <w:pPr>
              <w:pStyle w:val="null3"/>
            </w:pPr>
            <w:r>
              <w:rPr>
                <w:rFonts w:ascii="仿宋_GB2312" w:hAnsi="仿宋_GB2312" w:cs="仿宋_GB2312" w:eastAsia="仿宋_GB2312"/>
              </w:rPr>
              <w:t>（11）系统应具有良好的扩展性和兼容性，根据实际应用需要，可增加新的监测参数，并方便仪器安装与接入；</w:t>
            </w:r>
          </w:p>
          <w:p>
            <w:pPr>
              <w:pStyle w:val="null3"/>
            </w:pPr>
            <w:r>
              <w:rPr>
                <w:rFonts w:ascii="仿宋_GB2312" w:hAnsi="仿宋_GB2312" w:cs="仿宋_GB2312" w:eastAsia="仿宋_GB2312"/>
              </w:rPr>
              <w:t>（12）所有操作日志留痕，可通过远程方式实时获取现场站点控制单元的人为操作信息，记录登录用户的所有操作，便于对系统的维护操作进行诊断与溯源。</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自动站数据采集与传输要求：</w:t>
            </w:r>
          </w:p>
          <w:p>
            <w:pPr>
              <w:pStyle w:val="null3"/>
            </w:pPr>
            <w:r>
              <w:rPr>
                <w:rFonts w:ascii="仿宋_GB2312" w:hAnsi="仿宋_GB2312" w:cs="仿宋_GB2312" w:eastAsia="仿宋_GB2312"/>
              </w:rPr>
              <w:t>1.数据采集与存储。采集自动分析仪器的监测数据，并分类保存；采集自动分析仪器和集成系统各单元的工作状态量，并以运行日志的形式记录保存；能够实时采集视频信息并传输至中心平台；断电后能自动保存历史数据和参数设置。</w:t>
            </w:r>
          </w:p>
          <w:p>
            <w:pPr>
              <w:pStyle w:val="null3"/>
            </w:pPr>
            <w:r>
              <w:rPr>
                <w:rFonts w:ascii="仿宋_GB2312" w:hAnsi="仿宋_GB2312" w:cs="仿宋_GB2312" w:eastAsia="仿宋_GB2312"/>
              </w:rPr>
              <w:t>2.数据传输与通讯。采用无线、有线的通讯方式满足数据传输要求；接受中心站的远程访问，实时采集视频信息并传输至中心平台；具有仪器关键参数上传、远程设置、远程校时功能，能按要求接受、处理和反馈远程控制命令，如远程标定、仪器参数设置、标样核查、加标回收率测试、远程单元控制，远程留样等，配水单元的所有操作均可接受平台端的远程控制；具备对通信链路的自动诊断功能，具备超时补发功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运维服务要求：</w:t>
            </w:r>
          </w:p>
          <w:p>
            <w:pPr>
              <w:pStyle w:val="null3"/>
            </w:pPr>
            <w:r>
              <w:rPr>
                <w:rFonts w:ascii="仿宋_GB2312" w:hAnsi="仿宋_GB2312" w:cs="仿宋_GB2312" w:eastAsia="仿宋_GB2312"/>
              </w:rPr>
              <w:t>运维按照《地表水自动监测系统建设与运行技术要求》进行。</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1.交货期：自合同签订之日起50个日历日。</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①自合同签订后财政资金下达后支付合同价的50%作为预付款；</w:t>
            </w:r>
          </w:p>
          <w:p>
            <w:pPr>
              <w:pStyle w:val="null3"/>
            </w:pPr>
            <w:r>
              <w:rPr>
                <w:rFonts w:ascii="仿宋_GB2312" w:hAnsi="仿宋_GB2312" w:cs="仿宋_GB2312" w:eastAsia="仿宋_GB2312"/>
              </w:rPr>
              <w:t>②设备进场验收合格后支付合同总价的30%；</w:t>
            </w:r>
          </w:p>
          <w:p>
            <w:pPr>
              <w:pStyle w:val="null3"/>
            </w:pPr>
            <w:r>
              <w:rPr>
                <w:rFonts w:ascii="仿宋_GB2312" w:hAnsi="仿宋_GB2312" w:cs="仿宋_GB2312" w:eastAsia="仿宋_GB2312"/>
              </w:rPr>
              <w:t>③设备安装调试验收合格，审计完成后支付合同总价的15%；</w:t>
            </w:r>
          </w:p>
          <w:p>
            <w:pPr>
              <w:pStyle w:val="null3"/>
            </w:pPr>
            <w:r>
              <w:rPr>
                <w:rFonts w:ascii="仿宋_GB2312" w:hAnsi="仿宋_GB2312" w:cs="仿宋_GB2312" w:eastAsia="仿宋_GB2312"/>
              </w:rPr>
              <w:t>④运维期满后支付合同总价的5%。</w:t>
            </w:r>
          </w:p>
          <w:p>
            <w:pPr>
              <w:pStyle w:val="null3"/>
            </w:pPr>
            <w:r>
              <w:rPr>
                <w:rFonts w:ascii="仿宋_GB2312" w:hAnsi="仿宋_GB2312" w:cs="仿宋_GB2312" w:eastAsia="仿宋_GB2312"/>
              </w:rPr>
              <w:t>3.质保期：不少于1年。凡国家有规定的，优于招标文件要求的，按国家规定执行。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自合同签订后财政资金下达后支付合同价的50%作为预付款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设备进场验收合格后支付合同总价的30%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设备安装调试验收合格，审计完成后支付合同总价的15%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运维期满后支付合同总价的5%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人指定地点后，采购人根据合同要求，进行外观验收，确认产地、规格、型号和数量。双方需在约定的时间和地点共同开箱检验。（二）货物安装、调试并正常运行后，由供应商进行自检，合格后能够正常使用时书面通知采购人。（三）采购人确认接收投标人的自检内容后，进行验收，验收合格后，由投标人对采购人操作人员进行培训，完成培训后，采购人填写验收单作为对货物的最终认可。（四）投标人向采购人提交货物实施过程中的所有资料，以便采购人日后管理和维护。（五）验收依据：1.本合同及合同附件。2.国家相应的标准、规范。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招标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1.本项目专门面向中小企业采购，供应商应为中小微企业或监狱企业或残疾人福利性单位。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3.社会保障资金缴纳证明：提供2025年至今已缴存的至少一个月的社会保障资金缴存单据或社保机构开具的社会保险参保缴费情况证明，依法不需要缴纳社会保障资金的单位应提供相关证明材料；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投标设备的规格型号、技术指标、配置等描述完整、详细。设备的彩页（如有）、相应的功能证明材料（包括但不限于测试报告、官网和功能截图等）等进行赋分。 投标设备（产品）的参数等完全满足或优于采购要求、证明文件齐全完整、详尽得8-12分； 投标设备（产品）参数、证明文件基本满足，得4-8分（含8分）； 投标设备（产品）参数不够完善，证明文件不全得0-4分（含4分）。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技术要求并结合地域、人员、仪器设备和水质等情况提供水质自动监测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8-12分； 投标设备质量措施、证明文件基本完善，得4-8分（含8分）； 投标设备质量措施不够完善、证明文件不全，得0-4分（含4分）。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根据投标人针对本项目的实施方案包括但不限于：组织能力、技术力量配备、拟投入的人员情况等响应情况进行赋分。 实施方案完备、合理、切实可行，得10-15分； 实施方案较完备、合理、基本可行，得5-10分（含10分）； 实施方案较差或未提供，得0-5分（含5分）。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针对本项目制定详细的运维方案，设备运维流程及方案、设备保养、维修，确保正常设备运行，运维方案设计合理、架构完整、层次清楚，完全满足运维服务需求，内容具有全面性、可行性、针对性得8-12分； 运维方案基本完整，可行性及针对性较强得4-8分（含4分）； 运维方案较完整，可行性及针对性较差得0-4分（含4分）。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应急处理措施及方案</w:t>
            </w:r>
          </w:p>
        </w:tc>
        <w:tc>
          <w:tcPr>
            <w:tcW w:type="dxa" w:w="2492"/>
          </w:tcPr>
          <w:p>
            <w:pPr>
              <w:pStyle w:val="null3"/>
            </w:pPr>
            <w:r>
              <w:rPr>
                <w:rFonts w:ascii="仿宋_GB2312" w:hAnsi="仿宋_GB2312" w:cs="仿宋_GB2312" w:eastAsia="仿宋_GB2312"/>
              </w:rPr>
              <w:t>根据投标人针对合同执行过程中突发问题的应急处理措施及方案进行评审： 处理措施及方案详细可行，针对性强得3-5分； 处理措施及方案相对完整，具有一定的针对性得0-3分（含3分）。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投标人2022年01月01日至今同类项目业绩，每提供1份得1分，最高得2分；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投标人的售后服务承诺、维护保修计划进行赋分，包括具体的售后服务内容、响应方式、响应时间、故障服务管理、问题管理、设备返修管理、服务报告管理等方面。售后服务计划和承诺详细可行，得3-5分； 售后服务计划和承诺基本合理，得0-3分（含3分）。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供应商制定完善的培训方案（包括但不限于培训内容、培训经验、培训课时、培训地点、培训师资），培训方案详细具体、可行性及针对性强，培训师资雄厚得3-5分； 培训方案较详细具体、可行性及针对性较强，培训师资较多得0-3分（含3分）。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最终报价最低的投标的价格为投标基准价，其价格分30分。3.投标报价得分=（投标基准价/投标报价）×30的公式计算得分。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详见附件：西安市黑河水源地环境保护管理总站黑河水源地厚畛子水质自动监测子站及配套设施建设（监测仪器设备购置）项目采购合同.docx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