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28398D">
      <w:pP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合同模板</w:t>
      </w:r>
    </w:p>
    <w:p w14:paraId="4766773F">
      <w:pPr>
        <w:ind w:firstLine="1898" w:firstLineChars="350"/>
        <w:rPr>
          <w:rFonts w:hint="eastAsia" w:ascii="仿宋" w:hAnsi="仿宋" w:eastAsia="仿宋" w:cs="仿宋"/>
          <w:b/>
          <w:color w:val="auto"/>
          <w:spacing w:val="-20"/>
          <w:sz w:val="58"/>
          <w:szCs w:val="58"/>
          <w:highlight w:val="none"/>
        </w:rPr>
      </w:pPr>
    </w:p>
    <w:p w14:paraId="32800C9C">
      <w:pPr>
        <w:rPr>
          <w:rFonts w:hint="eastAsia" w:ascii="仿宋" w:hAnsi="仿宋" w:eastAsia="仿宋" w:cs="仿宋"/>
          <w:b/>
          <w:color w:val="auto"/>
          <w:spacing w:val="-20"/>
          <w:sz w:val="58"/>
          <w:szCs w:val="58"/>
          <w:highlight w:val="none"/>
        </w:rPr>
      </w:pPr>
    </w:p>
    <w:p w14:paraId="54208BCC">
      <w:pPr>
        <w:jc w:val="center"/>
        <w:rPr>
          <w:rFonts w:hint="eastAsia" w:ascii="仿宋" w:hAnsi="仿宋" w:eastAsia="仿宋" w:cs="仿宋"/>
          <w:b/>
          <w:color w:val="auto"/>
          <w:spacing w:val="-20"/>
          <w:sz w:val="44"/>
          <w:szCs w:val="44"/>
          <w:highlight w:val="none"/>
        </w:rPr>
      </w:pPr>
      <w:r>
        <w:rPr>
          <w:rFonts w:hint="eastAsia" w:ascii="仿宋" w:hAnsi="仿宋" w:eastAsia="仿宋" w:cs="仿宋"/>
          <w:b/>
          <w:color w:val="auto"/>
          <w:spacing w:val="-20"/>
          <w:sz w:val="44"/>
          <w:szCs w:val="44"/>
          <w:highlight w:val="none"/>
          <w:lang w:eastAsia="zh-CN"/>
        </w:rPr>
        <w:t>西安市第三医院2025年空调滤网采购项目</w:t>
      </w:r>
    </w:p>
    <w:p w14:paraId="4391E012">
      <w:pPr>
        <w:jc w:val="center"/>
        <w:rPr>
          <w:rFonts w:hint="eastAsia" w:ascii="仿宋" w:hAnsi="仿宋" w:eastAsia="仿宋" w:cs="仿宋"/>
          <w:b/>
          <w:color w:val="auto"/>
          <w:sz w:val="72"/>
          <w:szCs w:val="72"/>
          <w:highlight w:val="none"/>
        </w:rPr>
      </w:pPr>
      <w:r>
        <w:rPr>
          <w:rFonts w:hint="eastAsia" w:ascii="仿宋" w:hAnsi="仿宋" w:eastAsia="仿宋" w:cs="仿宋"/>
          <w:b/>
          <w:color w:val="auto"/>
          <w:sz w:val="72"/>
          <w:szCs w:val="72"/>
          <w:highlight w:val="none"/>
        </w:rPr>
        <w:t>供 货 合 同</w:t>
      </w:r>
    </w:p>
    <w:p w14:paraId="3442CDA3">
      <w:pPr>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（编号：</w:t>
      </w:r>
      <w:r>
        <w:rPr>
          <w:rFonts w:hint="eastAsia" w:ascii="仿宋" w:hAnsi="仿宋" w:eastAsia="仿宋" w:cs="仿宋"/>
          <w:color w:val="auto"/>
          <w:sz w:val="30"/>
          <w:szCs w:val="30"/>
          <w:highlight w:val="none"/>
          <w:lang w:val="en-US" w:eastAsia="zh-CN"/>
        </w:rPr>
        <w:t xml:space="preserve">     </w:t>
      </w:r>
      <w:r>
        <w:rPr>
          <w:rFonts w:hint="eastAsia" w:ascii="仿宋" w:hAnsi="仿宋" w:eastAsia="仿宋" w:cs="仿宋"/>
          <w:color w:val="auto"/>
          <w:sz w:val="30"/>
          <w:szCs w:val="30"/>
          <w:highlight w:val="none"/>
        </w:rPr>
        <w:t>）</w:t>
      </w:r>
    </w:p>
    <w:p w14:paraId="0998F368">
      <w:pPr>
        <w:jc w:val="center"/>
        <w:rPr>
          <w:rFonts w:hint="eastAsia" w:ascii="仿宋" w:hAnsi="仿宋" w:eastAsia="仿宋" w:cs="仿宋"/>
          <w:color w:val="auto"/>
          <w:sz w:val="30"/>
          <w:szCs w:val="30"/>
          <w:highlight w:val="none"/>
        </w:rPr>
      </w:pPr>
    </w:p>
    <w:p w14:paraId="6C0D9AC9">
      <w:pPr>
        <w:jc w:val="center"/>
        <w:rPr>
          <w:rFonts w:hint="eastAsia" w:ascii="仿宋" w:hAnsi="仿宋" w:eastAsia="仿宋" w:cs="仿宋"/>
          <w:color w:val="auto"/>
          <w:sz w:val="30"/>
          <w:szCs w:val="30"/>
          <w:highlight w:val="none"/>
        </w:rPr>
      </w:pPr>
      <w:bookmarkStart w:id="0" w:name="_GoBack"/>
      <w:bookmarkEnd w:id="0"/>
    </w:p>
    <w:p w14:paraId="53E71A01">
      <w:pPr>
        <w:jc w:val="center"/>
        <w:rPr>
          <w:rFonts w:hint="eastAsia" w:ascii="仿宋" w:hAnsi="仿宋" w:eastAsia="仿宋" w:cs="仿宋"/>
          <w:color w:val="auto"/>
          <w:sz w:val="30"/>
          <w:szCs w:val="30"/>
          <w:highlight w:val="none"/>
        </w:rPr>
      </w:pPr>
    </w:p>
    <w:p w14:paraId="434314A9">
      <w:pPr>
        <w:jc w:val="center"/>
        <w:rPr>
          <w:rFonts w:hint="eastAsia" w:ascii="仿宋" w:hAnsi="仿宋" w:eastAsia="仿宋" w:cs="仿宋"/>
          <w:color w:val="auto"/>
          <w:sz w:val="30"/>
          <w:szCs w:val="30"/>
          <w:highlight w:val="none"/>
        </w:rPr>
      </w:pPr>
    </w:p>
    <w:p w14:paraId="59F901AB">
      <w:pPr>
        <w:jc w:val="center"/>
        <w:rPr>
          <w:rFonts w:hint="eastAsia" w:ascii="仿宋" w:hAnsi="仿宋" w:eastAsia="仿宋" w:cs="仿宋"/>
          <w:color w:val="auto"/>
          <w:sz w:val="30"/>
          <w:szCs w:val="30"/>
          <w:highlight w:val="none"/>
        </w:rPr>
      </w:pPr>
    </w:p>
    <w:p w14:paraId="31763000">
      <w:pPr>
        <w:jc w:val="center"/>
        <w:rPr>
          <w:rFonts w:hint="eastAsia" w:ascii="仿宋" w:hAnsi="仿宋" w:eastAsia="仿宋" w:cs="仿宋"/>
          <w:color w:val="auto"/>
          <w:sz w:val="30"/>
          <w:szCs w:val="30"/>
          <w:highlight w:val="none"/>
        </w:rPr>
      </w:pPr>
    </w:p>
    <w:p w14:paraId="3CD32E1D">
      <w:pPr>
        <w:jc w:val="center"/>
        <w:rPr>
          <w:rFonts w:hint="eastAsia" w:ascii="仿宋" w:hAnsi="仿宋" w:eastAsia="仿宋" w:cs="仿宋"/>
          <w:color w:val="auto"/>
          <w:sz w:val="28"/>
          <w:szCs w:val="28"/>
          <w:highlight w:val="none"/>
        </w:rPr>
      </w:pPr>
    </w:p>
    <w:p w14:paraId="46013E18">
      <w:pPr>
        <w:jc w:val="center"/>
        <w:rPr>
          <w:rFonts w:hint="eastAsia" w:ascii="仿宋" w:hAnsi="仿宋" w:eastAsia="仿宋" w:cs="仿宋"/>
          <w:color w:val="auto"/>
          <w:sz w:val="30"/>
          <w:szCs w:val="30"/>
          <w:highlight w:val="none"/>
        </w:rPr>
      </w:pPr>
    </w:p>
    <w:p w14:paraId="2BBB0D83">
      <w:pPr>
        <w:jc w:val="center"/>
        <w:rPr>
          <w:rFonts w:hint="eastAsia" w:ascii="仿宋" w:hAnsi="仿宋" w:eastAsia="仿宋" w:cs="仿宋"/>
          <w:color w:val="auto"/>
          <w:sz w:val="30"/>
          <w:szCs w:val="30"/>
          <w:highlight w:val="none"/>
        </w:rPr>
      </w:pPr>
    </w:p>
    <w:p w14:paraId="51B1F102">
      <w:pPr>
        <w:jc w:val="center"/>
        <w:rPr>
          <w:rFonts w:hint="eastAsia" w:ascii="仿宋" w:hAnsi="仿宋" w:eastAsia="仿宋" w:cs="仿宋"/>
          <w:color w:val="auto"/>
          <w:sz w:val="30"/>
          <w:szCs w:val="30"/>
          <w:highlight w:val="none"/>
        </w:rPr>
      </w:pPr>
    </w:p>
    <w:p w14:paraId="7238CFD8">
      <w:pPr>
        <w:ind w:firstLine="2124" w:firstLineChars="664"/>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甲  方：西安市第三医院</w:t>
      </w:r>
    </w:p>
    <w:p w14:paraId="58B2BE76">
      <w:pPr>
        <w:tabs>
          <w:tab w:val="left" w:pos="480"/>
        </w:tabs>
        <w:ind w:firstLine="2124" w:firstLineChars="664"/>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乙  方：XXXXXXX</w:t>
      </w:r>
    </w:p>
    <w:p w14:paraId="07995475">
      <w:pPr>
        <w:jc w:val="center"/>
        <w:rPr>
          <w:rFonts w:hint="eastAsia" w:ascii="仿宋" w:hAnsi="仿宋" w:eastAsia="仿宋" w:cs="仿宋"/>
          <w:color w:val="auto"/>
          <w:sz w:val="30"/>
          <w:szCs w:val="30"/>
          <w:highlight w:val="none"/>
        </w:rPr>
      </w:pPr>
    </w:p>
    <w:p w14:paraId="032B4E10">
      <w:pPr>
        <w:jc w:val="center"/>
        <w:rPr>
          <w:rFonts w:hint="eastAsia" w:ascii="仿宋" w:hAnsi="仿宋" w:eastAsia="仿宋" w:cs="仿宋"/>
          <w:color w:val="auto"/>
          <w:sz w:val="30"/>
          <w:szCs w:val="30"/>
          <w:highlight w:val="none"/>
        </w:rPr>
      </w:pPr>
    </w:p>
    <w:p w14:paraId="3EA58E07">
      <w:pPr>
        <w:jc w:val="center"/>
        <w:rPr>
          <w:rFonts w:hint="eastAsia" w:ascii="仿宋" w:hAnsi="仿宋" w:eastAsia="仿宋" w:cs="仿宋"/>
          <w:b/>
          <w:color w:val="auto"/>
          <w:sz w:val="36"/>
          <w:szCs w:val="36"/>
          <w:highlight w:val="none"/>
        </w:rPr>
      </w:pPr>
      <w:r>
        <w:rPr>
          <w:rFonts w:hint="eastAsia" w:ascii="仿宋" w:hAnsi="仿宋" w:eastAsia="仿宋" w:cs="仿宋"/>
          <w:color w:val="auto"/>
          <w:sz w:val="32"/>
          <w:szCs w:val="32"/>
          <w:highlight w:val="none"/>
        </w:rPr>
        <w:t>中国  西安</w:t>
      </w:r>
    </w:p>
    <w:p w14:paraId="5D6182B2">
      <w:pPr>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供 货 合 同</w:t>
      </w:r>
    </w:p>
    <w:p w14:paraId="1ABA5967">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甲方：西安市第三医院</w:t>
      </w:r>
    </w:p>
    <w:p w14:paraId="04EA0A40">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住所地：西安市凤城三路东段10号</w:t>
      </w:r>
    </w:p>
    <w:p w14:paraId="7A90EDEA">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法定代表人：杨军乐 </w:t>
      </w:r>
    </w:p>
    <w:p w14:paraId="198312AB">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联系方式： 029-61816199</w:t>
      </w:r>
    </w:p>
    <w:p w14:paraId="48425914">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乙方：</w:t>
      </w:r>
    </w:p>
    <w:p w14:paraId="602197A8">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住所地：</w:t>
      </w:r>
    </w:p>
    <w:p w14:paraId="69024D09">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法定代表人： </w:t>
      </w:r>
    </w:p>
    <w:p w14:paraId="2C208E8C">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联系方式：</w:t>
      </w:r>
    </w:p>
    <w:p w14:paraId="46945F8A">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在西安市财政局政府采购管理处的监督管理下，按照政府采购程序组织</w:t>
      </w:r>
      <w:r>
        <w:rPr>
          <w:rFonts w:hint="eastAsia" w:ascii="仿宋" w:hAnsi="仿宋" w:eastAsia="仿宋" w:cs="仿宋"/>
          <w:color w:val="auto"/>
          <w:sz w:val="21"/>
          <w:szCs w:val="21"/>
          <w:highlight w:val="none"/>
          <w:lang w:val="en-US" w:eastAsia="zh-CN"/>
        </w:rPr>
        <w:t>竞争性磋商</w:t>
      </w:r>
      <w:r>
        <w:rPr>
          <w:rFonts w:hint="eastAsia" w:ascii="仿宋" w:hAnsi="仿宋" w:eastAsia="仿宋" w:cs="仿宋"/>
          <w:color w:val="auto"/>
          <w:sz w:val="21"/>
          <w:szCs w:val="21"/>
          <w:highlight w:val="none"/>
        </w:rPr>
        <w:t>，确定乙方为</w:t>
      </w:r>
      <w:r>
        <w:rPr>
          <w:rFonts w:hint="eastAsia" w:ascii="仿宋" w:hAnsi="仿宋" w:eastAsia="仿宋" w:cs="仿宋"/>
          <w:color w:val="auto"/>
          <w:sz w:val="21"/>
          <w:szCs w:val="21"/>
          <w:highlight w:val="none"/>
          <w:lang w:eastAsia="zh-CN"/>
        </w:rPr>
        <w:t>西安市第三医院2025年空调滤网采购项目</w:t>
      </w:r>
      <w:r>
        <w:rPr>
          <w:rFonts w:hint="eastAsia" w:ascii="仿宋" w:hAnsi="仿宋" w:eastAsia="仿宋" w:cs="仿宋"/>
          <w:color w:val="auto"/>
          <w:sz w:val="21"/>
          <w:szCs w:val="21"/>
          <w:highlight w:val="none"/>
        </w:rPr>
        <w:t>（项目编号：</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成交</w:t>
      </w:r>
      <w:r>
        <w:rPr>
          <w:rFonts w:hint="eastAsia" w:ascii="仿宋" w:hAnsi="仿宋" w:eastAsia="仿宋" w:cs="仿宋"/>
          <w:color w:val="auto"/>
          <w:sz w:val="21"/>
          <w:szCs w:val="21"/>
          <w:highlight w:val="none"/>
        </w:rPr>
        <w:t>供应商。依据《中华人民共和国政府采购法》、《中华人民共和国</w:t>
      </w:r>
      <w:r>
        <w:rPr>
          <w:rFonts w:hint="eastAsia" w:ascii="仿宋" w:hAnsi="仿宋" w:eastAsia="仿宋" w:cs="仿宋"/>
          <w:color w:val="auto"/>
          <w:sz w:val="21"/>
          <w:szCs w:val="21"/>
          <w:highlight w:val="none"/>
          <w:lang w:eastAsia="zh-CN"/>
        </w:rPr>
        <w:t>民法典</w:t>
      </w:r>
      <w:r>
        <w:rPr>
          <w:rFonts w:hint="eastAsia" w:ascii="仿宋" w:hAnsi="仿宋" w:eastAsia="仿宋" w:cs="仿宋"/>
          <w:color w:val="auto"/>
          <w:sz w:val="21"/>
          <w:szCs w:val="21"/>
          <w:highlight w:val="none"/>
        </w:rPr>
        <w:t>》以及</w:t>
      </w:r>
      <w:r>
        <w:rPr>
          <w:rFonts w:hint="eastAsia" w:ascii="仿宋" w:hAnsi="仿宋" w:eastAsia="仿宋" w:cs="仿宋"/>
          <w:color w:val="auto"/>
          <w:sz w:val="21"/>
          <w:szCs w:val="21"/>
          <w:highlight w:val="none"/>
          <w:lang w:eastAsia="zh-CN"/>
        </w:rPr>
        <w:t>华春建设工程项目管理有限责任公司</w:t>
      </w:r>
      <w:r>
        <w:rPr>
          <w:rFonts w:hint="eastAsia" w:ascii="仿宋" w:hAnsi="仿宋" w:eastAsia="仿宋" w:cs="仿宋"/>
          <w:color w:val="auto"/>
          <w:sz w:val="21"/>
          <w:szCs w:val="21"/>
          <w:highlight w:val="none"/>
          <w:lang w:val="en-US" w:eastAsia="zh-CN"/>
        </w:rPr>
        <w:t>磋商</w:t>
      </w:r>
      <w:r>
        <w:rPr>
          <w:rFonts w:hint="eastAsia" w:ascii="仿宋" w:hAnsi="仿宋" w:eastAsia="仿宋" w:cs="仿宋"/>
          <w:color w:val="auto"/>
          <w:sz w:val="21"/>
          <w:szCs w:val="21"/>
          <w:highlight w:val="none"/>
        </w:rPr>
        <w:t>文件、</w:t>
      </w:r>
      <w:r>
        <w:rPr>
          <w:rFonts w:hint="eastAsia" w:ascii="仿宋" w:hAnsi="仿宋" w:eastAsia="仿宋" w:cs="仿宋"/>
          <w:color w:val="auto"/>
          <w:sz w:val="21"/>
          <w:szCs w:val="21"/>
          <w:highlight w:val="none"/>
          <w:lang w:val="en-US" w:eastAsia="zh-CN"/>
        </w:rPr>
        <w:t>成交</w:t>
      </w:r>
      <w:r>
        <w:rPr>
          <w:rFonts w:hint="eastAsia" w:ascii="仿宋" w:hAnsi="仿宋" w:eastAsia="仿宋" w:cs="仿宋"/>
          <w:color w:val="auto"/>
          <w:sz w:val="21"/>
          <w:szCs w:val="21"/>
          <w:highlight w:val="none"/>
        </w:rPr>
        <w:t>通知书，经甲、乙双方协商确认，达成如下合同条款。</w:t>
      </w:r>
    </w:p>
    <w:p w14:paraId="5B4AD0D4">
      <w:pPr>
        <w:keepNext w:val="0"/>
        <w:keepLines w:val="0"/>
        <w:pageBreakBefore w:val="0"/>
        <w:widowControl w:val="0"/>
        <w:tabs>
          <w:tab w:val="left" w:pos="480"/>
        </w:tabs>
        <w:kinsoku/>
        <w:wordWrap/>
        <w:overflowPunct/>
        <w:topLinePunct w:val="0"/>
        <w:bidi w:val="0"/>
        <w:snapToGrid/>
        <w:spacing w:line="360" w:lineRule="auto"/>
        <w:ind w:firstLine="342" w:firstLineChars="200"/>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一、合同标的物内容及数量（以</w:t>
      </w:r>
      <w:r>
        <w:rPr>
          <w:rFonts w:hint="eastAsia" w:ascii="仿宋" w:hAnsi="仿宋" w:eastAsia="仿宋" w:cs="仿宋"/>
          <w:b/>
          <w:color w:val="auto"/>
          <w:spacing w:val="-20"/>
          <w:kern w:val="0"/>
          <w:sz w:val="21"/>
          <w:szCs w:val="21"/>
          <w:highlight w:val="none"/>
          <w:lang w:val="en-US" w:eastAsia="zh-CN"/>
        </w:rPr>
        <w:t>响应</w:t>
      </w:r>
      <w:r>
        <w:rPr>
          <w:rFonts w:hint="eastAsia" w:ascii="仿宋" w:hAnsi="仿宋" w:eastAsia="仿宋" w:cs="仿宋"/>
          <w:b/>
          <w:color w:val="auto"/>
          <w:spacing w:val="-20"/>
          <w:kern w:val="0"/>
          <w:sz w:val="21"/>
          <w:szCs w:val="21"/>
          <w:highlight w:val="none"/>
        </w:rPr>
        <w:t>文件和澄清表〈函〉为准）</w:t>
      </w:r>
    </w:p>
    <w:tbl>
      <w:tblPr>
        <w:tblStyle w:val="2"/>
        <w:tblW w:w="7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1643"/>
        <w:gridCol w:w="1843"/>
        <w:gridCol w:w="962"/>
        <w:gridCol w:w="962"/>
        <w:gridCol w:w="962"/>
      </w:tblGrid>
      <w:tr w14:paraId="2A8F4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1A709196">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序号</w:t>
            </w:r>
          </w:p>
        </w:tc>
        <w:tc>
          <w:tcPr>
            <w:tcW w:w="1643" w:type="dxa"/>
            <w:tcBorders>
              <w:top w:val="single" w:color="auto" w:sz="4" w:space="0"/>
              <w:left w:val="single" w:color="auto" w:sz="4" w:space="0"/>
              <w:bottom w:val="single" w:color="auto" w:sz="4" w:space="0"/>
              <w:right w:val="single" w:color="auto" w:sz="4" w:space="0"/>
            </w:tcBorders>
            <w:vAlign w:val="center"/>
          </w:tcPr>
          <w:p w14:paraId="7FE762C3">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货物名称</w:t>
            </w:r>
          </w:p>
        </w:tc>
        <w:tc>
          <w:tcPr>
            <w:tcW w:w="1843" w:type="dxa"/>
            <w:tcBorders>
              <w:top w:val="single" w:color="auto" w:sz="4" w:space="0"/>
              <w:left w:val="single" w:color="auto" w:sz="4" w:space="0"/>
              <w:bottom w:val="single" w:color="auto" w:sz="4" w:space="0"/>
              <w:right w:val="single" w:color="auto" w:sz="4" w:space="0"/>
            </w:tcBorders>
            <w:vAlign w:val="center"/>
          </w:tcPr>
          <w:p w14:paraId="767BCCD5">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规格型号</w:t>
            </w:r>
          </w:p>
        </w:tc>
        <w:tc>
          <w:tcPr>
            <w:tcW w:w="962" w:type="dxa"/>
            <w:tcBorders>
              <w:top w:val="single" w:color="auto" w:sz="4" w:space="0"/>
              <w:left w:val="single" w:color="auto" w:sz="4" w:space="0"/>
              <w:right w:val="single" w:color="auto" w:sz="4" w:space="0"/>
            </w:tcBorders>
            <w:vAlign w:val="center"/>
          </w:tcPr>
          <w:p w14:paraId="6B74395A">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单价</w:t>
            </w:r>
          </w:p>
        </w:tc>
        <w:tc>
          <w:tcPr>
            <w:tcW w:w="962" w:type="dxa"/>
            <w:tcBorders>
              <w:top w:val="single" w:color="auto" w:sz="4" w:space="0"/>
              <w:left w:val="single" w:color="auto" w:sz="4" w:space="0"/>
              <w:bottom w:val="single" w:color="auto" w:sz="4" w:space="0"/>
              <w:right w:val="single" w:color="auto" w:sz="4" w:space="0"/>
            </w:tcBorders>
          </w:tcPr>
          <w:p w14:paraId="5B346C78">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产地</w:t>
            </w:r>
          </w:p>
        </w:tc>
        <w:tc>
          <w:tcPr>
            <w:tcW w:w="962" w:type="dxa"/>
            <w:tcBorders>
              <w:top w:val="single" w:color="auto" w:sz="4" w:space="0"/>
              <w:left w:val="single" w:color="auto" w:sz="4" w:space="0"/>
              <w:bottom w:val="single" w:color="auto" w:sz="4" w:space="0"/>
              <w:right w:val="single" w:color="auto" w:sz="4" w:space="0"/>
            </w:tcBorders>
          </w:tcPr>
          <w:p w14:paraId="32B61BE1">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备注</w:t>
            </w:r>
          </w:p>
        </w:tc>
      </w:tr>
      <w:tr w14:paraId="4FB73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446BEF4C">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1</w:t>
            </w:r>
          </w:p>
        </w:tc>
        <w:tc>
          <w:tcPr>
            <w:tcW w:w="1643" w:type="dxa"/>
            <w:tcBorders>
              <w:top w:val="single" w:color="auto" w:sz="4" w:space="0"/>
              <w:left w:val="single" w:color="auto" w:sz="4" w:space="0"/>
              <w:bottom w:val="single" w:color="auto" w:sz="4" w:space="0"/>
              <w:right w:val="single" w:color="auto" w:sz="4" w:space="0"/>
            </w:tcBorders>
            <w:vAlign w:val="center"/>
          </w:tcPr>
          <w:p w14:paraId="673A0613">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22697ABC">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left w:val="single" w:color="auto" w:sz="4" w:space="0"/>
              <w:right w:val="single" w:color="auto" w:sz="4" w:space="0"/>
            </w:tcBorders>
            <w:vAlign w:val="center"/>
          </w:tcPr>
          <w:p w14:paraId="093902E8">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top w:val="single" w:color="auto" w:sz="4" w:space="0"/>
              <w:left w:val="single" w:color="auto" w:sz="4" w:space="0"/>
              <w:bottom w:val="single" w:color="auto" w:sz="4" w:space="0"/>
              <w:right w:val="single" w:color="auto" w:sz="4" w:space="0"/>
            </w:tcBorders>
          </w:tcPr>
          <w:p w14:paraId="3EEFD0DC">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top w:val="single" w:color="auto" w:sz="4" w:space="0"/>
              <w:left w:val="single" w:color="auto" w:sz="4" w:space="0"/>
              <w:bottom w:val="single" w:color="auto" w:sz="4" w:space="0"/>
              <w:right w:val="single" w:color="auto" w:sz="4" w:space="0"/>
            </w:tcBorders>
          </w:tcPr>
          <w:p w14:paraId="61275CE2">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r>
      <w:tr w14:paraId="06DAA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61B51B87">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2</w:t>
            </w:r>
          </w:p>
        </w:tc>
        <w:tc>
          <w:tcPr>
            <w:tcW w:w="1643" w:type="dxa"/>
            <w:tcBorders>
              <w:top w:val="single" w:color="auto" w:sz="4" w:space="0"/>
              <w:left w:val="single" w:color="auto" w:sz="4" w:space="0"/>
              <w:bottom w:val="single" w:color="auto" w:sz="4" w:space="0"/>
              <w:right w:val="single" w:color="auto" w:sz="4" w:space="0"/>
            </w:tcBorders>
            <w:vAlign w:val="center"/>
          </w:tcPr>
          <w:p w14:paraId="49D2C8F5">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0ED1FBD6">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left w:val="single" w:color="auto" w:sz="4" w:space="0"/>
              <w:right w:val="single" w:color="auto" w:sz="4" w:space="0"/>
            </w:tcBorders>
            <w:vAlign w:val="center"/>
          </w:tcPr>
          <w:p w14:paraId="11EDBED5">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top w:val="single" w:color="auto" w:sz="4" w:space="0"/>
              <w:left w:val="single" w:color="auto" w:sz="4" w:space="0"/>
              <w:bottom w:val="single" w:color="auto" w:sz="4" w:space="0"/>
              <w:right w:val="single" w:color="auto" w:sz="4" w:space="0"/>
            </w:tcBorders>
          </w:tcPr>
          <w:p w14:paraId="646925FC">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top w:val="single" w:color="auto" w:sz="4" w:space="0"/>
              <w:left w:val="single" w:color="auto" w:sz="4" w:space="0"/>
              <w:bottom w:val="single" w:color="auto" w:sz="4" w:space="0"/>
              <w:right w:val="single" w:color="auto" w:sz="4" w:space="0"/>
            </w:tcBorders>
          </w:tcPr>
          <w:p w14:paraId="7232CDDB">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r>
      <w:tr w14:paraId="576FA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37B97A1B">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3</w:t>
            </w:r>
          </w:p>
        </w:tc>
        <w:tc>
          <w:tcPr>
            <w:tcW w:w="1643" w:type="dxa"/>
            <w:tcBorders>
              <w:top w:val="single" w:color="auto" w:sz="4" w:space="0"/>
              <w:left w:val="single" w:color="auto" w:sz="4" w:space="0"/>
              <w:bottom w:val="single" w:color="auto" w:sz="4" w:space="0"/>
              <w:right w:val="single" w:color="auto" w:sz="4" w:space="0"/>
            </w:tcBorders>
            <w:vAlign w:val="center"/>
          </w:tcPr>
          <w:p w14:paraId="518D8AF0">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70F7B61E">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left w:val="single" w:color="auto" w:sz="4" w:space="0"/>
              <w:right w:val="single" w:color="auto" w:sz="4" w:space="0"/>
            </w:tcBorders>
            <w:vAlign w:val="center"/>
          </w:tcPr>
          <w:p w14:paraId="5AA6FBA4">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top w:val="single" w:color="auto" w:sz="4" w:space="0"/>
              <w:left w:val="single" w:color="auto" w:sz="4" w:space="0"/>
              <w:bottom w:val="single" w:color="auto" w:sz="4" w:space="0"/>
              <w:right w:val="single" w:color="auto" w:sz="4" w:space="0"/>
            </w:tcBorders>
          </w:tcPr>
          <w:p w14:paraId="554C31DE">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top w:val="single" w:color="auto" w:sz="4" w:space="0"/>
              <w:left w:val="single" w:color="auto" w:sz="4" w:space="0"/>
              <w:bottom w:val="single" w:color="auto" w:sz="4" w:space="0"/>
              <w:right w:val="single" w:color="auto" w:sz="4" w:space="0"/>
            </w:tcBorders>
          </w:tcPr>
          <w:p w14:paraId="5E21ADBE">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r>
      <w:tr w14:paraId="0FE23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3D97C7C3">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4</w:t>
            </w:r>
          </w:p>
        </w:tc>
        <w:tc>
          <w:tcPr>
            <w:tcW w:w="1643" w:type="dxa"/>
            <w:tcBorders>
              <w:top w:val="single" w:color="auto" w:sz="4" w:space="0"/>
              <w:left w:val="single" w:color="auto" w:sz="4" w:space="0"/>
              <w:bottom w:val="single" w:color="auto" w:sz="4" w:space="0"/>
              <w:right w:val="single" w:color="auto" w:sz="4" w:space="0"/>
            </w:tcBorders>
            <w:vAlign w:val="center"/>
          </w:tcPr>
          <w:p w14:paraId="3F3007E8">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202AAE12">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left w:val="single" w:color="auto" w:sz="4" w:space="0"/>
              <w:right w:val="single" w:color="auto" w:sz="4" w:space="0"/>
            </w:tcBorders>
            <w:vAlign w:val="center"/>
          </w:tcPr>
          <w:p w14:paraId="39DF0A3B">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top w:val="single" w:color="auto" w:sz="4" w:space="0"/>
              <w:left w:val="single" w:color="auto" w:sz="4" w:space="0"/>
              <w:bottom w:val="single" w:color="auto" w:sz="4" w:space="0"/>
              <w:right w:val="single" w:color="auto" w:sz="4" w:space="0"/>
            </w:tcBorders>
          </w:tcPr>
          <w:p w14:paraId="55A62D6C">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top w:val="single" w:color="auto" w:sz="4" w:space="0"/>
              <w:left w:val="single" w:color="auto" w:sz="4" w:space="0"/>
              <w:bottom w:val="single" w:color="auto" w:sz="4" w:space="0"/>
              <w:right w:val="single" w:color="auto" w:sz="4" w:space="0"/>
            </w:tcBorders>
          </w:tcPr>
          <w:p w14:paraId="4719FBE9">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r>
      <w:tr w14:paraId="59E26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68E4DDBF">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5</w:t>
            </w:r>
          </w:p>
        </w:tc>
        <w:tc>
          <w:tcPr>
            <w:tcW w:w="1643" w:type="dxa"/>
            <w:tcBorders>
              <w:top w:val="single" w:color="auto" w:sz="4" w:space="0"/>
              <w:left w:val="single" w:color="auto" w:sz="4" w:space="0"/>
              <w:bottom w:val="single" w:color="auto" w:sz="4" w:space="0"/>
              <w:right w:val="single" w:color="auto" w:sz="4" w:space="0"/>
            </w:tcBorders>
            <w:vAlign w:val="center"/>
          </w:tcPr>
          <w:p w14:paraId="319F307E">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0894D687">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left w:val="single" w:color="auto" w:sz="4" w:space="0"/>
              <w:right w:val="single" w:color="auto" w:sz="4" w:space="0"/>
            </w:tcBorders>
            <w:vAlign w:val="center"/>
          </w:tcPr>
          <w:p w14:paraId="537CC8EC">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top w:val="single" w:color="auto" w:sz="4" w:space="0"/>
              <w:left w:val="single" w:color="auto" w:sz="4" w:space="0"/>
              <w:bottom w:val="single" w:color="auto" w:sz="4" w:space="0"/>
              <w:right w:val="single" w:color="auto" w:sz="4" w:space="0"/>
            </w:tcBorders>
          </w:tcPr>
          <w:p w14:paraId="5C43C1BC">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top w:val="single" w:color="auto" w:sz="4" w:space="0"/>
              <w:left w:val="single" w:color="auto" w:sz="4" w:space="0"/>
              <w:bottom w:val="single" w:color="auto" w:sz="4" w:space="0"/>
              <w:right w:val="single" w:color="auto" w:sz="4" w:space="0"/>
            </w:tcBorders>
          </w:tcPr>
          <w:p w14:paraId="61B8FADA">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r>
      <w:tr w14:paraId="7FE24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7A2FA509">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6</w:t>
            </w:r>
          </w:p>
        </w:tc>
        <w:tc>
          <w:tcPr>
            <w:tcW w:w="1643" w:type="dxa"/>
            <w:tcBorders>
              <w:top w:val="single" w:color="auto" w:sz="4" w:space="0"/>
              <w:left w:val="single" w:color="auto" w:sz="4" w:space="0"/>
              <w:bottom w:val="single" w:color="auto" w:sz="4" w:space="0"/>
              <w:right w:val="single" w:color="auto" w:sz="4" w:space="0"/>
            </w:tcBorders>
            <w:vAlign w:val="center"/>
          </w:tcPr>
          <w:p w14:paraId="0641ED22">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4467EC1F">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left w:val="single" w:color="auto" w:sz="4" w:space="0"/>
              <w:right w:val="single" w:color="auto" w:sz="4" w:space="0"/>
            </w:tcBorders>
            <w:vAlign w:val="center"/>
          </w:tcPr>
          <w:p w14:paraId="0171A549">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top w:val="single" w:color="auto" w:sz="4" w:space="0"/>
              <w:left w:val="single" w:color="auto" w:sz="4" w:space="0"/>
              <w:bottom w:val="single" w:color="auto" w:sz="4" w:space="0"/>
              <w:right w:val="single" w:color="auto" w:sz="4" w:space="0"/>
            </w:tcBorders>
          </w:tcPr>
          <w:p w14:paraId="480B0AF6">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top w:val="single" w:color="auto" w:sz="4" w:space="0"/>
              <w:left w:val="single" w:color="auto" w:sz="4" w:space="0"/>
              <w:bottom w:val="single" w:color="auto" w:sz="4" w:space="0"/>
              <w:right w:val="single" w:color="auto" w:sz="4" w:space="0"/>
            </w:tcBorders>
          </w:tcPr>
          <w:p w14:paraId="07A18F63">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r>
      <w:tr w14:paraId="48EEB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77AFBF88">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7</w:t>
            </w:r>
          </w:p>
        </w:tc>
        <w:tc>
          <w:tcPr>
            <w:tcW w:w="1643" w:type="dxa"/>
            <w:tcBorders>
              <w:top w:val="single" w:color="auto" w:sz="4" w:space="0"/>
              <w:left w:val="single" w:color="auto" w:sz="4" w:space="0"/>
              <w:bottom w:val="single" w:color="auto" w:sz="4" w:space="0"/>
              <w:right w:val="single" w:color="auto" w:sz="4" w:space="0"/>
            </w:tcBorders>
            <w:vAlign w:val="center"/>
          </w:tcPr>
          <w:p w14:paraId="46C1C7A5">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11C01E5C">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left w:val="single" w:color="auto" w:sz="4" w:space="0"/>
              <w:right w:val="single" w:color="auto" w:sz="4" w:space="0"/>
            </w:tcBorders>
            <w:vAlign w:val="center"/>
          </w:tcPr>
          <w:p w14:paraId="40BDFC02">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top w:val="single" w:color="auto" w:sz="4" w:space="0"/>
              <w:left w:val="single" w:color="auto" w:sz="4" w:space="0"/>
              <w:bottom w:val="single" w:color="auto" w:sz="4" w:space="0"/>
              <w:right w:val="single" w:color="auto" w:sz="4" w:space="0"/>
            </w:tcBorders>
          </w:tcPr>
          <w:p w14:paraId="1556FC4C">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top w:val="single" w:color="auto" w:sz="4" w:space="0"/>
              <w:left w:val="single" w:color="auto" w:sz="4" w:space="0"/>
              <w:bottom w:val="single" w:color="auto" w:sz="4" w:space="0"/>
              <w:right w:val="single" w:color="auto" w:sz="4" w:space="0"/>
            </w:tcBorders>
          </w:tcPr>
          <w:p w14:paraId="03F24F03">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r>
      <w:tr w14:paraId="42946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4F70A212">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8</w:t>
            </w:r>
          </w:p>
        </w:tc>
        <w:tc>
          <w:tcPr>
            <w:tcW w:w="1643" w:type="dxa"/>
            <w:tcBorders>
              <w:top w:val="single" w:color="auto" w:sz="4" w:space="0"/>
              <w:left w:val="single" w:color="auto" w:sz="4" w:space="0"/>
              <w:bottom w:val="single" w:color="auto" w:sz="4" w:space="0"/>
              <w:right w:val="single" w:color="auto" w:sz="4" w:space="0"/>
            </w:tcBorders>
            <w:vAlign w:val="center"/>
          </w:tcPr>
          <w:p w14:paraId="133066A1">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35027D28">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left w:val="single" w:color="auto" w:sz="4" w:space="0"/>
              <w:right w:val="single" w:color="auto" w:sz="4" w:space="0"/>
            </w:tcBorders>
            <w:vAlign w:val="center"/>
          </w:tcPr>
          <w:p w14:paraId="6CE87C45">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top w:val="single" w:color="auto" w:sz="4" w:space="0"/>
              <w:left w:val="single" w:color="auto" w:sz="4" w:space="0"/>
              <w:bottom w:val="single" w:color="auto" w:sz="4" w:space="0"/>
              <w:right w:val="single" w:color="auto" w:sz="4" w:space="0"/>
            </w:tcBorders>
          </w:tcPr>
          <w:p w14:paraId="7DE88FEF">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top w:val="single" w:color="auto" w:sz="4" w:space="0"/>
              <w:left w:val="single" w:color="auto" w:sz="4" w:space="0"/>
              <w:bottom w:val="single" w:color="auto" w:sz="4" w:space="0"/>
              <w:right w:val="single" w:color="auto" w:sz="4" w:space="0"/>
            </w:tcBorders>
          </w:tcPr>
          <w:p w14:paraId="6C9616AA">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r>
      <w:tr w14:paraId="5276C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240141EE">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9</w:t>
            </w:r>
          </w:p>
        </w:tc>
        <w:tc>
          <w:tcPr>
            <w:tcW w:w="1643" w:type="dxa"/>
            <w:tcBorders>
              <w:top w:val="single" w:color="auto" w:sz="4" w:space="0"/>
              <w:left w:val="single" w:color="auto" w:sz="4" w:space="0"/>
              <w:bottom w:val="single" w:color="auto" w:sz="4" w:space="0"/>
              <w:right w:val="single" w:color="auto" w:sz="4" w:space="0"/>
            </w:tcBorders>
            <w:vAlign w:val="center"/>
          </w:tcPr>
          <w:p w14:paraId="1263727F">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4BD8884C">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left w:val="single" w:color="auto" w:sz="4" w:space="0"/>
              <w:right w:val="single" w:color="auto" w:sz="4" w:space="0"/>
            </w:tcBorders>
            <w:vAlign w:val="center"/>
          </w:tcPr>
          <w:p w14:paraId="5FE9F1D4">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top w:val="single" w:color="auto" w:sz="4" w:space="0"/>
              <w:left w:val="single" w:color="auto" w:sz="4" w:space="0"/>
              <w:bottom w:val="single" w:color="auto" w:sz="4" w:space="0"/>
              <w:right w:val="single" w:color="auto" w:sz="4" w:space="0"/>
            </w:tcBorders>
          </w:tcPr>
          <w:p w14:paraId="4BCCD156">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c>
          <w:tcPr>
            <w:tcW w:w="962" w:type="dxa"/>
            <w:tcBorders>
              <w:top w:val="single" w:color="auto" w:sz="4" w:space="0"/>
              <w:left w:val="single" w:color="auto" w:sz="4" w:space="0"/>
              <w:bottom w:val="single" w:color="auto" w:sz="4" w:space="0"/>
              <w:right w:val="single" w:color="auto" w:sz="4" w:space="0"/>
            </w:tcBorders>
          </w:tcPr>
          <w:p w14:paraId="6A106D8F">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r>
      <w:tr w14:paraId="51B92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1F82E2D3">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lang w:val="en-US" w:eastAsia="zh-CN"/>
              </w:rPr>
            </w:pPr>
            <w:r>
              <w:rPr>
                <w:rFonts w:hint="eastAsia" w:ascii="仿宋" w:hAnsi="仿宋" w:eastAsia="仿宋" w:cs="仿宋"/>
                <w:color w:val="auto"/>
                <w:spacing w:val="-20"/>
                <w:kern w:val="0"/>
                <w:sz w:val="21"/>
                <w:szCs w:val="21"/>
                <w:highlight w:val="none"/>
                <w:lang w:val="en-US" w:eastAsia="zh-CN"/>
              </w:rPr>
              <w:t>合计</w:t>
            </w:r>
          </w:p>
        </w:tc>
        <w:tc>
          <w:tcPr>
            <w:tcW w:w="6372" w:type="dxa"/>
            <w:gridSpan w:val="5"/>
            <w:tcBorders>
              <w:top w:val="single" w:color="auto" w:sz="4" w:space="0"/>
              <w:left w:val="single" w:color="auto" w:sz="4" w:space="0"/>
              <w:bottom w:val="single" w:color="auto" w:sz="4" w:space="0"/>
              <w:right w:val="single" w:color="auto" w:sz="4" w:space="0"/>
            </w:tcBorders>
            <w:vAlign w:val="center"/>
          </w:tcPr>
          <w:p w14:paraId="28DCCD35">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r>
      <w:tr w14:paraId="60688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5B5B93B1">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lang w:val="en-US" w:eastAsia="zh-CN"/>
              </w:rPr>
            </w:pPr>
            <w:r>
              <w:rPr>
                <w:rFonts w:hint="eastAsia" w:ascii="仿宋" w:hAnsi="仿宋" w:eastAsia="仿宋" w:cs="仿宋"/>
                <w:color w:val="auto"/>
                <w:spacing w:val="-20"/>
                <w:kern w:val="0"/>
                <w:sz w:val="21"/>
                <w:szCs w:val="21"/>
                <w:highlight w:val="none"/>
                <w:lang w:val="en-US" w:eastAsia="zh-CN"/>
              </w:rPr>
              <w:t>说明</w:t>
            </w:r>
          </w:p>
        </w:tc>
        <w:tc>
          <w:tcPr>
            <w:tcW w:w="6372" w:type="dxa"/>
            <w:gridSpan w:val="5"/>
            <w:tcBorders>
              <w:top w:val="single" w:color="auto" w:sz="4" w:space="0"/>
              <w:left w:val="single" w:color="auto" w:sz="4" w:space="0"/>
              <w:bottom w:val="single" w:color="auto" w:sz="4" w:space="0"/>
              <w:right w:val="single" w:color="auto" w:sz="4" w:space="0"/>
            </w:tcBorders>
            <w:vAlign w:val="center"/>
          </w:tcPr>
          <w:p w14:paraId="7F6ED9FF">
            <w:pPr>
              <w:keepNext w:val="0"/>
              <w:keepLines w:val="0"/>
              <w:pageBreakBefore w:val="0"/>
              <w:widowControl w:val="0"/>
              <w:tabs>
                <w:tab w:val="left" w:pos="480"/>
              </w:tabs>
              <w:kinsoku/>
              <w:wordWrap/>
              <w:overflowPunct/>
              <w:topLinePunct w:val="0"/>
              <w:bidi w:val="0"/>
              <w:snapToGrid/>
              <w:spacing w:line="360" w:lineRule="auto"/>
              <w:jc w:val="center"/>
              <w:textAlignment w:val="auto"/>
              <w:rPr>
                <w:rFonts w:hint="eastAsia" w:ascii="仿宋" w:hAnsi="仿宋" w:eastAsia="仿宋" w:cs="仿宋"/>
                <w:color w:val="auto"/>
                <w:spacing w:val="-20"/>
                <w:kern w:val="0"/>
                <w:sz w:val="21"/>
                <w:szCs w:val="21"/>
                <w:highlight w:val="none"/>
              </w:rPr>
            </w:pPr>
          </w:p>
        </w:tc>
      </w:tr>
    </w:tbl>
    <w:p w14:paraId="19C57854">
      <w:pPr>
        <w:keepNext w:val="0"/>
        <w:keepLines w:val="0"/>
        <w:pageBreakBefore w:val="0"/>
        <w:widowControl w:val="0"/>
        <w:tabs>
          <w:tab w:val="left" w:pos="480"/>
        </w:tabs>
        <w:kinsoku/>
        <w:wordWrap/>
        <w:overflowPunct/>
        <w:topLinePunct w:val="0"/>
        <w:bidi w:val="0"/>
        <w:snapToGrid/>
        <w:spacing w:line="360" w:lineRule="auto"/>
        <w:ind w:firstLine="335" w:firstLineChars="196"/>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（技术参数可附附件或详见</w:t>
      </w:r>
      <w:r>
        <w:rPr>
          <w:rFonts w:hint="eastAsia" w:ascii="仿宋" w:hAnsi="仿宋" w:eastAsia="仿宋" w:cs="仿宋"/>
          <w:b/>
          <w:color w:val="auto"/>
          <w:spacing w:val="-20"/>
          <w:kern w:val="0"/>
          <w:sz w:val="21"/>
          <w:szCs w:val="21"/>
          <w:highlight w:val="none"/>
          <w:lang w:val="en-US" w:eastAsia="zh-CN"/>
        </w:rPr>
        <w:t>响应</w:t>
      </w:r>
      <w:r>
        <w:rPr>
          <w:rFonts w:hint="eastAsia" w:ascii="仿宋" w:hAnsi="仿宋" w:eastAsia="仿宋" w:cs="仿宋"/>
          <w:b/>
          <w:color w:val="auto"/>
          <w:spacing w:val="-20"/>
          <w:kern w:val="0"/>
          <w:sz w:val="21"/>
          <w:szCs w:val="21"/>
          <w:highlight w:val="none"/>
        </w:rPr>
        <w:t>文件，需说明清楚）</w:t>
      </w:r>
    </w:p>
    <w:p w14:paraId="020EC6C3">
      <w:pPr>
        <w:keepNext w:val="0"/>
        <w:keepLines w:val="0"/>
        <w:pageBreakBefore w:val="0"/>
        <w:widowControl w:val="0"/>
        <w:tabs>
          <w:tab w:val="left" w:pos="480"/>
        </w:tabs>
        <w:kinsoku/>
        <w:wordWrap/>
        <w:overflowPunct/>
        <w:topLinePunct w:val="0"/>
        <w:bidi w:val="0"/>
        <w:snapToGrid/>
        <w:spacing w:line="360" w:lineRule="auto"/>
        <w:ind w:firstLine="335" w:firstLineChars="196"/>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二、交货条件：</w:t>
      </w:r>
    </w:p>
    <w:p w14:paraId="057731C1">
      <w:pPr>
        <w:keepNext w:val="0"/>
        <w:keepLines w:val="0"/>
        <w:pageBreakBefore w:val="0"/>
        <w:widowControl w:val="0"/>
        <w:numPr>
          <w:ilvl w:val="0"/>
          <w:numId w:val="1"/>
        </w:numPr>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交货地点：甲方指定地点。</w:t>
      </w:r>
    </w:p>
    <w:p w14:paraId="1495FD02">
      <w:pPr>
        <w:keepNext w:val="0"/>
        <w:keepLines w:val="0"/>
        <w:pageBreakBefore w:val="0"/>
        <w:widowControl w:val="0"/>
        <w:numPr>
          <w:ilvl w:val="0"/>
          <w:numId w:val="1"/>
        </w:numPr>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服务期限：自合同签订之日起1年。</w:t>
      </w:r>
    </w:p>
    <w:p w14:paraId="18E4F3EB">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三</w:t>
      </w:r>
      <w:r>
        <w:rPr>
          <w:rFonts w:hint="eastAsia" w:ascii="仿宋" w:hAnsi="仿宋" w:eastAsia="仿宋" w:cs="仿宋"/>
          <w:color w:val="auto"/>
          <w:sz w:val="21"/>
          <w:szCs w:val="21"/>
          <w:highlight w:val="none"/>
        </w:rPr>
        <w:t>）交货期：按需分批供货，自合同签订之日起___个日历日内完成全部项目内容，并交付甲方验收合格。</w:t>
      </w:r>
    </w:p>
    <w:p w14:paraId="2976A973">
      <w:pPr>
        <w:keepNext w:val="0"/>
        <w:keepLines w:val="0"/>
        <w:pageBreakBefore w:val="0"/>
        <w:widowControl w:val="0"/>
        <w:tabs>
          <w:tab w:val="left" w:pos="480"/>
        </w:tabs>
        <w:kinsoku/>
        <w:wordWrap/>
        <w:overflowPunct/>
        <w:topLinePunct w:val="0"/>
        <w:bidi w:val="0"/>
        <w:snapToGrid/>
        <w:spacing w:line="360" w:lineRule="auto"/>
        <w:ind w:firstLine="335" w:firstLineChars="196"/>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三、合同价款</w:t>
      </w:r>
    </w:p>
    <w:p w14:paraId="5733335E">
      <w:pPr>
        <w:keepNext w:val="0"/>
        <w:keepLines w:val="0"/>
        <w:pageBreakBefore w:val="0"/>
        <w:widowControl w:val="0"/>
        <w:tabs>
          <w:tab w:val="left" w:pos="480"/>
        </w:tabs>
        <w:kinsoku/>
        <w:wordWrap/>
        <w:overflowPunct/>
        <w:topLinePunct w:val="0"/>
        <w:bidi w:val="0"/>
        <w:snapToGrid/>
        <w:spacing w:line="360" w:lineRule="auto"/>
        <w:ind w:firstLine="335" w:firstLineChars="196"/>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（以下内容仅为示例，本条款除第一条外的内容必须与</w:t>
      </w:r>
      <w:r>
        <w:rPr>
          <w:rFonts w:hint="eastAsia" w:ascii="仿宋" w:hAnsi="仿宋" w:eastAsia="仿宋" w:cs="仿宋"/>
          <w:b/>
          <w:color w:val="auto"/>
          <w:spacing w:val="-20"/>
          <w:kern w:val="0"/>
          <w:sz w:val="21"/>
          <w:szCs w:val="21"/>
          <w:highlight w:val="none"/>
          <w:lang w:val="en-US" w:eastAsia="zh-CN"/>
        </w:rPr>
        <w:t>磋商</w:t>
      </w:r>
      <w:r>
        <w:rPr>
          <w:rFonts w:hint="eastAsia" w:ascii="仿宋" w:hAnsi="仿宋" w:eastAsia="仿宋" w:cs="仿宋"/>
          <w:b/>
          <w:color w:val="auto"/>
          <w:spacing w:val="-20"/>
          <w:kern w:val="0"/>
          <w:sz w:val="21"/>
          <w:szCs w:val="21"/>
          <w:highlight w:val="none"/>
        </w:rPr>
        <w:t>文件第四章对应条款内容保持一致）</w:t>
      </w:r>
    </w:p>
    <w:p w14:paraId="35984A69">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（一）合同总价款为人民币（大写）</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元。</w:t>
      </w:r>
    </w:p>
    <w:p w14:paraId="21E8B91D">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（二）合同</w:t>
      </w:r>
      <w:r>
        <w:rPr>
          <w:rFonts w:hint="eastAsia" w:ascii="仿宋" w:hAnsi="仿宋" w:eastAsia="仿宋" w:cs="仿宋"/>
          <w:color w:val="auto"/>
          <w:sz w:val="21"/>
          <w:szCs w:val="21"/>
          <w:highlight w:val="none"/>
          <w:lang w:val="en-US" w:eastAsia="zh-CN"/>
        </w:rPr>
        <w:t>单</w:t>
      </w:r>
      <w:r>
        <w:rPr>
          <w:rFonts w:hint="eastAsia" w:ascii="仿宋" w:hAnsi="仿宋" w:eastAsia="仿宋" w:cs="仿宋"/>
          <w:color w:val="auto"/>
          <w:sz w:val="21"/>
          <w:szCs w:val="21"/>
          <w:highlight w:val="none"/>
        </w:rPr>
        <w:t>价包括：×××费、×××费、×××费和其他费用。</w:t>
      </w:r>
    </w:p>
    <w:p w14:paraId="722F46AA">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（三）合同</w:t>
      </w:r>
      <w:r>
        <w:rPr>
          <w:rFonts w:hint="eastAsia" w:ascii="仿宋" w:hAnsi="仿宋" w:eastAsia="仿宋" w:cs="仿宋"/>
          <w:color w:val="auto"/>
          <w:sz w:val="21"/>
          <w:szCs w:val="21"/>
          <w:highlight w:val="none"/>
          <w:lang w:val="en-US" w:eastAsia="zh-CN"/>
        </w:rPr>
        <w:t>单</w:t>
      </w:r>
      <w:r>
        <w:rPr>
          <w:rFonts w:hint="eastAsia" w:ascii="仿宋" w:hAnsi="仿宋" w:eastAsia="仿宋" w:cs="仿宋"/>
          <w:color w:val="auto"/>
          <w:sz w:val="21"/>
          <w:szCs w:val="21"/>
          <w:highlight w:val="none"/>
        </w:rPr>
        <w:t>价一次性包死，不受市场价格变化因素的影响。</w:t>
      </w:r>
    </w:p>
    <w:p w14:paraId="5588E927">
      <w:pPr>
        <w:keepNext w:val="0"/>
        <w:keepLines w:val="0"/>
        <w:pageBreakBefore w:val="0"/>
        <w:widowControl w:val="0"/>
        <w:tabs>
          <w:tab w:val="left" w:pos="480"/>
        </w:tabs>
        <w:kinsoku/>
        <w:wordWrap/>
        <w:overflowPunct/>
        <w:topLinePunct w:val="0"/>
        <w:bidi w:val="0"/>
        <w:snapToGrid/>
        <w:spacing w:line="360" w:lineRule="auto"/>
        <w:ind w:firstLine="335" w:firstLineChars="196"/>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四、款项结算</w:t>
      </w:r>
    </w:p>
    <w:p w14:paraId="54E168C5">
      <w:pPr>
        <w:keepNext w:val="0"/>
        <w:keepLines w:val="0"/>
        <w:pageBreakBefore w:val="0"/>
        <w:widowControl w:val="0"/>
        <w:tabs>
          <w:tab w:val="left" w:pos="480"/>
        </w:tabs>
        <w:kinsoku/>
        <w:wordWrap/>
        <w:overflowPunct/>
        <w:topLinePunct w:val="0"/>
        <w:bidi w:val="0"/>
        <w:snapToGrid/>
        <w:spacing w:line="360" w:lineRule="auto"/>
        <w:ind w:firstLine="342" w:firstLineChars="200"/>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（以下内容仅为示例，本条款的内容必须与</w:t>
      </w:r>
      <w:r>
        <w:rPr>
          <w:rFonts w:hint="eastAsia" w:ascii="仿宋" w:hAnsi="仿宋" w:eastAsia="仿宋" w:cs="仿宋"/>
          <w:b/>
          <w:color w:val="auto"/>
          <w:spacing w:val="-20"/>
          <w:kern w:val="0"/>
          <w:sz w:val="21"/>
          <w:szCs w:val="21"/>
          <w:highlight w:val="none"/>
          <w:lang w:eastAsia="zh-CN"/>
        </w:rPr>
        <w:t>磋商文件</w:t>
      </w:r>
      <w:r>
        <w:rPr>
          <w:rFonts w:hint="eastAsia" w:ascii="仿宋" w:hAnsi="仿宋" w:eastAsia="仿宋" w:cs="仿宋"/>
          <w:b/>
          <w:color w:val="auto"/>
          <w:spacing w:val="-20"/>
          <w:kern w:val="0"/>
          <w:sz w:val="21"/>
          <w:szCs w:val="21"/>
          <w:highlight w:val="none"/>
        </w:rPr>
        <w:t>第四章对应条款内容保持一致）</w:t>
      </w:r>
    </w:p>
    <w:p w14:paraId="07888D5D">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一</w:t>
      </w:r>
      <w:r>
        <w:rPr>
          <w:rFonts w:hint="eastAsia" w:ascii="仿宋" w:hAnsi="仿宋" w:eastAsia="仿宋" w:cs="仿宋"/>
          <w:color w:val="auto"/>
          <w:sz w:val="21"/>
          <w:szCs w:val="21"/>
          <w:highlight w:val="none"/>
        </w:rPr>
        <w:t>）支付方式：银行转账。</w:t>
      </w:r>
    </w:p>
    <w:p w14:paraId="18F9B9B3">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二</w:t>
      </w:r>
      <w:r>
        <w:rPr>
          <w:rFonts w:hint="eastAsia" w:ascii="仿宋" w:hAnsi="仿宋" w:eastAsia="仿宋" w:cs="仿宋"/>
          <w:color w:val="auto"/>
          <w:sz w:val="21"/>
          <w:szCs w:val="21"/>
          <w:highlight w:val="none"/>
        </w:rPr>
        <w:t>）结算方式：乙方每</w:t>
      </w:r>
      <w:r>
        <w:rPr>
          <w:rFonts w:hint="eastAsia" w:ascii="仿宋" w:hAnsi="仿宋" w:eastAsia="仿宋" w:cs="仿宋"/>
          <w:color w:val="auto"/>
          <w:sz w:val="21"/>
          <w:szCs w:val="21"/>
          <w:highlight w:val="none"/>
          <w:lang w:val="en-US" w:eastAsia="zh-CN"/>
        </w:rPr>
        <w:t>季度</w:t>
      </w:r>
      <w:r>
        <w:rPr>
          <w:rFonts w:hint="eastAsia" w:ascii="仿宋" w:hAnsi="仿宋" w:eastAsia="仿宋" w:cs="仿宋"/>
          <w:color w:val="auto"/>
          <w:sz w:val="21"/>
          <w:szCs w:val="21"/>
          <w:highlight w:val="none"/>
        </w:rPr>
        <w:t>据实开具发票，持</w:t>
      </w:r>
      <w:r>
        <w:rPr>
          <w:rFonts w:hint="eastAsia" w:ascii="仿宋" w:hAnsi="仿宋" w:eastAsia="仿宋" w:cs="仿宋"/>
          <w:color w:val="auto"/>
          <w:sz w:val="21"/>
          <w:szCs w:val="21"/>
          <w:highlight w:val="none"/>
          <w:lang w:eastAsia="zh-CN"/>
        </w:rPr>
        <w:t>成交通知书</w:t>
      </w:r>
      <w:r>
        <w:rPr>
          <w:rFonts w:hint="eastAsia" w:ascii="仿宋" w:hAnsi="仿宋" w:eastAsia="仿宋" w:cs="仿宋"/>
          <w:color w:val="auto"/>
          <w:sz w:val="21"/>
          <w:szCs w:val="21"/>
          <w:highlight w:val="none"/>
        </w:rPr>
        <w:t>、供货合同、发票，与甲方结算。</w:t>
      </w:r>
    </w:p>
    <w:p w14:paraId="5706233A">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（三）合同有效期，自接到甲方书面通知之日起壹年或最终结算（人民币XXXXXX元）达到合同最高执行总价为止</w:t>
      </w:r>
    </w:p>
    <w:p w14:paraId="1C3EA3CC">
      <w:pPr>
        <w:keepNext w:val="0"/>
        <w:keepLines w:val="0"/>
        <w:pageBreakBefore w:val="0"/>
        <w:widowControl w:val="0"/>
        <w:kinsoku/>
        <w:wordWrap/>
        <w:overflowPunct/>
        <w:topLinePunct w:val="0"/>
        <w:bidi w:val="0"/>
        <w:snapToGrid/>
        <w:spacing w:line="360" w:lineRule="auto"/>
        <w:ind w:firstLine="342" w:firstLineChars="200"/>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五、双方的权利和义务</w:t>
      </w:r>
    </w:p>
    <w:p w14:paraId="61A00CE1">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（一）甲方的权利和义务</w:t>
      </w:r>
    </w:p>
    <w:p w14:paraId="44F74B93">
      <w:pPr>
        <w:keepNext w:val="0"/>
        <w:keepLines w:val="0"/>
        <w:pageBreakBefore w:val="0"/>
        <w:widowControl w:val="0"/>
        <w:kinsoku/>
        <w:wordWrap/>
        <w:overflowPunct/>
        <w:topLinePunct w:val="0"/>
        <w:bidi w:val="0"/>
        <w:snapToGrid/>
        <w:spacing w:line="360" w:lineRule="auto"/>
        <w:ind w:firstLine="422" w:firstLineChars="200"/>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（由双方协商，必须填写）</w:t>
      </w:r>
    </w:p>
    <w:p w14:paraId="7B3E2236">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（二）乙方的权利和义务</w:t>
      </w:r>
    </w:p>
    <w:p w14:paraId="5DBC1617">
      <w:pPr>
        <w:keepNext w:val="0"/>
        <w:keepLines w:val="0"/>
        <w:pageBreakBefore w:val="0"/>
        <w:widowControl w:val="0"/>
        <w:kinsoku/>
        <w:wordWrap/>
        <w:overflowPunct/>
        <w:topLinePunct w:val="0"/>
        <w:bidi w:val="0"/>
        <w:snapToGrid/>
        <w:spacing w:line="360" w:lineRule="auto"/>
        <w:ind w:firstLine="422" w:firstLineChars="200"/>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（由双方协商，必须填写）</w:t>
      </w:r>
    </w:p>
    <w:p w14:paraId="23EC4443">
      <w:pPr>
        <w:keepNext w:val="0"/>
        <w:keepLines w:val="0"/>
        <w:pageBreakBefore w:val="0"/>
        <w:widowControl w:val="0"/>
        <w:tabs>
          <w:tab w:val="left" w:pos="480"/>
        </w:tabs>
        <w:kinsoku/>
        <w:wordWrap/>
        <w:overflowPunct/>
        <w:topLinePunct w:val="0"/>
        <w:bidi w:val="0"/>
        <w:snapToGrid/>
        <w:spacing w:line="360" w:lineRule="auto"/>
        <w:ind w:firstLine="335" w:firstLineChars="196"/>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六、质量保证</w:t>
      </w:r>
    </w:p>
    <w:p w14:paraId="5570252A">
      <w:pPr>
        <w:keepNext w:val="0"/>
        <w:keepLines w:val="0"/>
        <w:pageBreakBefore w:val="0"/>
        <w:widowControl w:val="0"/>
        <w:tabs>
          <w:tab w:val="left" w:pos="480"/>
        </w:tabs>
        <w:kinsoku/>
        <w:wordWrap/>
        <w:overflowPunct/>
        <w:topLinePunct w:val="0"/>
        <w:bidi w:val="0"/>
        <w:snapToGrid/>
        <w:spacing w:line="360" w:lineRule="auto"/>
        <w:ind w:firstLine="335" w:firstLineChars="196"/>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（以下内容仅供参考，具体内容按照</w:t>
      </w:r>
      <w:r>
        <w:rPr>
          <w:rFonts w:hint="eastAsia" w:ascii="仿宋" w:hAnsi="仿宋" w:eastAsia="仿宋" w:cs="仿宋"/>
          <w:b/>
          <w:color w:val="auto"/>
          <w:spacing w:val="-20"/>
          <w:kern w:val="0"/>
          <w:sz w:val="21"/>
          <w:szCs w:val="21"/>
          <w:highlight w:val="none"/>
          <w:lang w:eastAsia="zh-CN"/>
        </w:rPr>
        <w:t>磋商文件</w:t>
      </w:r>
      <w:r>
        <w:rPr>
          <w:rFonts w:hint="eastAsia" w:ascii="仿宋" w:hAnsi="仿宋" w:eastAsia="仿宋" w:cs="仿宋"/>
          <w:b/>
          <w:color w:val="auto"/>
          <w:spacing w:val="-20"/>
          <w:kern w:val="0"/>
          <w:sz w:val="21"/>
          <w:szCs w:val="21"/>
          <w:highlight w:val="none"/>
        </w:rPr>
        <w:t>第四章合同条款以及</w:t>
      </w:r>
      <w:r>
        <w:rPr>
          <w:rFonts w:hint="eastAsia" w:ascii="仿宋" w:hAnsi="仿宋" w:eastAsia="仿宋" w:cs="仿宋"/>
          <w:b/>
          <w:color w:val="auto"/>
          <w:spacing w:val="-20"/>
          <w:kern w:val="0"/>
          <w:sz w:val="21"/>
          <w:szCs w:val="21"/>
          <w:highlight w:val="none"/>
          <w:lang w:eastAsia="zh-CN"/>
        </w:rPr>
        <w:t>响应文件</w:t>
      </w:r>
      <w:r>
        <w:rPr>
          <w:rFonts w:hint="eastAsia" w:ascii="仿宋" w:hAnsi="仿宋" w:eastAsia="仿宋" w:cs="仿宋"/>
          <w:b/>
          <w:color w:val="auto"/>
          <w:spacing w:val="-20"/>
          <w:kern w:val="0"/>
          <w:sz w:val="21"/>
          <w:szCs w:val="21"/>
          <w:highlight w:val="none"/>
        </w:rPr>
        <w:t>响应条款中的对应内容拟定，若</w:t>
      </w:r>
      <w:r>
        <w:rPr>
          <w:rFonts w:hint="eastAsia" w:ascii="仿宋" w:hAnsi="仿宋" w:eastAsia="仿宋" w:cs="仿宋"/>
          <w:b/>
          <w:color w:val="auto"/>
          <w:spacing w:val="-20"/>
          <w:kern w:val="0"/>
          <w:sz w:val="21"/>
          <w:szCs w:val="21"/>
          <w:highlight w:val="none"/>
          <w:lang w:eastAsia="zh-CN"/>
        </w:rPr>
        <w:t>响应文件</w:t>
      </w:r>
      <w:r>
        <w:rPr>
          <w:rFonts w:hint="eastAsia" w:ascii="仿宋" w:hAnsi="仿宋" w:eastAsia="仿宋" w:cs="仿宋"/>
          <w:b/>
          <w:color w:val="auto"/>
          <w:spacing w:val="-20"/>
          <w:kern w:val="0"/>
          <w:sz w:val="21"/>
          <w:szCs w:val="21"/>
          <w:highlight w:val="none"/>
        </w:rPr>
        <w:t>响应条款优于</w:t>
      </w:r>
      <w:r>
        <w:rPr>
          <w:rFonts w:hint="eastAsia" w:ascii="仿宋" w:hAnsi="仿宋" w:eastAsia="仿宋" w:cs="仿宋"/>
          <w:b/>
          <w:color w:val="auto"/>
          <w:spacing w:val="-20"/>
          <w:kern w:val="0"/>
          <w:sz w:val="21"/>
          <w:szCs w:val="21"/>
          <w:highlight w:val="none"/>
          <w:lang w:eastAsia="zh-CN"/>
        </w:rPr>
        <w:t>磋商文件</w:t>
      </w:r>
      <w:r>
        <w:rPr>
          <w:rFonts w:hint="eastAsia" w:ascii="仿宋" w:hAnsi="仿宋" w:eastAsia="仿宋" w:cs="仿宋"/>
          <w:b/>
          <w:color w:val="auto"/>
          <w:spacing w:val="-20"/>
          <w:kern w:val="0"/>
          <w:sz w:val="21"/>
          <w:szCs w:val="21"/>
          <w:highlight w:val="none"/>
        </w:rPr>
        <w:t>的按</w:t>
      </w:r>
      <w:r>
        <w:rPr>
          <w:rFonts w:hint="eastAsia" w:ascii="仿宋" w:hAnsi="仿宋" w:eastAsia="仿宋" w:cs="仿宋"/>
          <w:b/>
          <w:color w:val="auto"/>
          <w:spacing w:val="-20"/>
          <w:kern w:val="0"/>
          <w:sz w:val="21"/>
          <w:szCs w:val="21"/>
          <w:highlight w:val="none"/>
          <w:lang w:eastAsia="zh-CN"/>
        </w:rPr>
        <w:t>响应文件</w:t>
      </w:r>
      <w:r>
        <w:rPr>
          <w:rFonts w:hint="eastAsia" w:ascii="仿宋" w:hAnsi="仿宋" w:eastAsia="仿宋" w:cs="仿宋"/>
          <w:b/>
          <w:color w:val="auto"/>
          <w:spacing w:val="-20"/>
          <w:kern w:val="0"/>
          <w:sz w:val="21"/>
          <w:szCs w:val="21"/>
          <w:highlight w:val="none"/>
        </w:rPr>
        <w:t>内容拟定，双方可协商增加内容，但必须优于</w:t>
      </w:r>
      <w:r>
        <w:rPr>
          <w:rFonts w:hint="eastAsia" w:ascii="仿宋" w:hAnsi="仿宋" w:eastAsia="仿宋" w:cs="仿宋"/>
          <w:b/>
          <w:color w:val="auto"/>
          <w:spacing w:val="-20"/>
          <w:kern w:val="0"/>
          <w:sz w:val="21"/>
          <w:szCs w:val="21"/>
          <w:highlight w:val="none"/>
          <w:lang w:eastAsia="zh-CN"/>
        </w:rPr>
        <w:t>磋商文件</w:t>
      </w:r>
      <w:r>
        <w:rPr>
          <w:rFonts w:hint="eastAsia" w:ascii="仿宋" w:hAnsi="仿宋" w:eastAsia="仿宋" w:cs="仿宋"/>
          <w:b/>
          <w:color w:val="auto"/>
          <w:spacing w:val="-20"/>
          <w:kern w:val="0"/>
          <w:sz w:val="21"/>
          <w:szCs w:val="21"/>
          <w:highlight w:val="none"/>
        </w:rPr>
        <w:t>要求和</w:t>
      </w:r>
      <w:r>
        <w:rPr>
          <w:rFonts w:hint="eastAsia" w:ascii="仿宋" w:hAnsi="仿宋" w:eastAsia="仿宋" w:cs="仿宋"/>
          <w:b/>
          <w:color w:val="auto"/>
          <w:spacing w:val="-20"/>
          <w:kern w:val="0"/>
          <w:sz w:val="21"/>
          <w:szCs w:val="21"/>
          <w:highlight w:val="none"/>
          <w:lang w:eastAsia="zh-CN"/>
        </w:rPr>
        <w:t>响应文件</w:t>
      </w:r>
      <w:r>
        <w:rPr>
          <w:rFonts w:hint="eastAsia" w:ascii="仿宋" w:hAnsi="仿宋" w:eastAsia="仿宋" w:cs="仿宋"/>
          <w:b/>
          <w:color w:val="auto"/>
          <w:spacing w:val="-20"/>
          <w:kern w:val="0"/>
          <w:sz w:val="21"/>
          <w:szCs w:val="21"/>
          <w:highlight w:val="none"/>
        </w:rPr>
        <w:t>响应内容）</w:t>
      </w:r>
    </w:p>
    <w:p w14:paraId="56D8EA6F">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乙方所供产品/设备必须执行下列条款：</w:t>
      </w:r>
    </w:p>
    <w:p w14:paraId="68363B46">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保证所供产品/设备的设计、制造、产品性能、材料的选择和材料的检验及产品的测试等，均应按国内外通行的现行标准相应的技术规范，以及质量、安全、环保标准和要求执行，这些标准和技术规范应为合同签订日为止最新公布发行的标准和技术规范。包括但不限于：</w:t>
      </w:r>
    </w:p>
    <w:p w14:paraId="3303F916">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1、×××规范（GB）</w:t>
      </w:r>
    </w:p>
    <w:p w14:paraId="75617FF0">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2、×××规范（GB/T）</w:t>
      </w:r>
    </w:p>
    <w:p w14:paraId="3B30E14B">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（二）保证所供产品/设备技术指标先进、质量性能可靠、配置合理、进货渠道正规，全面满足</w:t>
      </w:r>
      <w:r>
        <w:rPr>
          <w:rFonts w:hint="eastAsia" w:ascii="仿宋" w:hAnsi="仿宋" w:eastAsia="仿宋" w:cs="仿宋"/>
          <w:color w:val="auto"/>
          <w:sz w:val="21"/>
          <w:szCs w:val="21"/>
          <w:highlight w:val="none"/>
          <w:lang w:eastAsia="zh-CN"/>
        </w:rPr>
        <w:t>磋商文件</w:t>
      </w:r>
      <w:r>
        <w:rPr>
          <w:rFonts w:hint="eastAsia" w:ascii="仿宋" w:hAnsi="仿宋" w:eastAsia="仿宋" w:cs="仿宋"/>
          <w:color w:val="auto"/>
          <w:sz w:val="21"/>
          <w:szCs w:val="21"/>
          <w:highlight w:val="none"/>
        </w:rPr>
        <w:t>要求，无假货、水货或翻新货，并能按期交付。</w:t>
      </w:r>
    </w:p>
    <w:p w14:paraId="496CABE8">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（三）保证所供产品/设备在装卸、运输和仓储过程中有足够的包装保护，防止产品/设备受潮、锈蚀、遭受冲撞及其他不可预见的损坏。</w:t>
      </w:r>
    </w:p>
    <w:p w14:paraId="0C7B801D">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（四）保证所供产品/设备具有良好的外观，适合各种安装场所的使用要求，确保达到最佳运行状态。</w:t>
      </w:r>
    </w:p>
    <w:p w14:paraId="365D9FBF">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（五）乙方所供产品/设备因侵权而产生的一切后果由乙方负责，甲方保留索赔权力。</w:t>
      </w:r>
    </w:p>
    <w:p w14:paraId="575AD488">
      <w:pPr>
        <w:keepNext w:val="0"/>
        <w:keepLines w:val="0"/>
        <w:pageBreakBefore w:val="0"/>
        <w:widowControl w:val="0"/>
        <w:kinsoku/>
        <w:wordWrap/>
        <w:overflowPunct/>
        <w:topLinePunct w:val="0"/>
        <w:bidi w:val="0"/>
        <w:snapToGrid/>
        <w:spacing w:line="360" w:lineRule="auto"/>
        <w:ind w:firstLine="422" w:firstLineChars="200"/>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（六）双方拟定的其他条款。</w:t>
      </w:r>
    </w:p>
    <w:p w14:paraId="0F19AAA7">
      <w:pPr>
        <w:keepNext w:val="0"/>
        <w:keepLines w:val="0"/>
        <w:pageBreakBefore w:val="0"/>
        <w:widowControl w:val="0"/>
        <w:tabs>
          <w:tab w:val="left" w:pos="480"/>
        </w:tabs>
        <w:kinsoku/>
        <w:wordWrap/>
        <w:overflowPunct/>
        <w:topLinePunct w:val="0"/>
        <w:bidi w:val="0"/>
        <w:snapToGrid/>
        <w:spacing w:line="360" w:lineRule="auto"/>
        <w:ind w:firstLine="335" w:firstLineChars="196"/>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七、包装和储运</w:t>
      </w:r>
    </w:p>
    <w:p w14:paraId="1B227566">
      <w:pPr>
        <w:keepNext w:val="0"/>
        <w:keepLines w:val="0"/>
        <w:pageBreakBefore w:val="0"/>
        <w:widowControl w:val="0"/>
        <w:tabs>
          <w:tab w:val="left" w:pos="480"/>
        </w:tabs>
        <w:kinsoku/>
        <w:wordWrap/>
        <w:overflowPunct/>
        <w:topLinePunct w:val="0"/>
        <w:bidi w:val="0"/>
        <w:snapToGrid/>
        <w:spacing w:line="360" w:lineRule="auto"/>
        <w:ind w:firstLine="335" w:firstLineChars="196"/>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（以下内容仅供参考，具体内容按照</w:t>
      </w:r>
      <w:r>
        <w:rPr>
          <w:rFonts w:hint="eastAsia" w:ascii="仿宋" w:hAnsi="仿宋" w:eastAsia="仿宋" w:cs="仿宋"/>
          <w:b/>
          <w:color w:val="auto"/>
          <w:spacing w:val="-20"/>
          <w:kern w:val="0"/>
          <w:sz w:val="21"/>
          <w:szCs w:val="21"/>
          <w:highlight w:val="none"/>
          <w:lang w:eastAsia="zh-CN"/>
        </w:rPr>
        <w:t>磋商文件</w:t>
      </w:r>
      <w:r>
        <w:rPr>
          <w:rFonts w:hint="eastAsia" w:ascii="仿宋" w:hAnsi="仿宋" w:eastAsia="仿宋" w:cs="仿宋"/>
          <w:b/>
          <w:color w:val="auto"/>
          <w:spacing w:val="-20"/>
          <w:kern w:val="0"/>
          <w:sz w:val="21"/>
          <w:szCs w:val="21"/>
          <w:highlight w:val="none"/>
        </w:rPr>
        <w:t>第四章合同条款以及</w:t>
      </w:r>
      <w:r>
        <w:rPr>
          <w:rFonts w:hint="eastAsia" w:ascii="仿宋" w:hAnsi="仿宋" w:eastAsia="仿宋" w:cs="仿宋"/>
          <w:b/>
          <w:color w:val="auto"/>
          <w:spacing w:val="-20"/>
          <w:kern w:val="0"/>
          <w:sz w:val="21"/>
          <w:szCs w:val="21"/>
          <w:highlight w:val="none"/>
          <w:lang w:eastAsia="zh-CN"/>
        </w:rPr>
        <w:t>响应文件</w:t>
      </w:r>
      <w:r>
        <w:rPr>
          <w:rFonts w:hint="eastAsia" w:ascii="仿宋" w:hAnsi="仿宋" w:eastAsia="仿宋" w:cs="仿宋"/>
          <w:b/>
          <w:color w:val="auto"/>
          <w:spacing w:val="-20"/>
          <w:kern w:val="0"/>
          <w:sz w:val="21"/>
          <w:szCs w:val="21"/>
          <w:highlight w:val="none"/>
        </w:rPr>
        <w:t>响应条款中的对应内容拟定，若</w:t>
      </w:r>
      <w:r>
        <w:rPr>
          <w:rFonts w:hint="eastAsia" w:ascii="仿宋" w:hAnsi="仿宋" w:eastAsia="仿宋" w:cs="仿宋"/>
          <w:b/>
          <w:color w:val="auto"/>
          <w:spacing w:val="-20"/>
          <w:kern w:val="0"/>
          <w:sz w:val="21"/>
          <w:szCs w:val="21"/>
          <w:highlight w:val="none"/>
          <w:lang w:eastAsia="zh-CN"/>
        </w:rPr>
        <w:t>响应文件</w:t>
      </w:r>
      <w:r>
        <w:rPr>
          <w:rFonts w:hint="eastAsia" w:ascii="仿宋" w:hAnsi="仿宋" w:eastAsia="仿宋" w:cs="仿宋"/>
          <w:b/>
          <w:color w:val="auto"/>
          <w:spacing w:val="-20"/>
          <w:kern w:val="0"/>
          <w:sz w:val="21"/>
          <w:szCs w:val="21"/>
          <w:highlight w:val="none"/>
        </w:rPr>
        <w:t>响应条款优于</w:t>
      </w:r>
      <w:r>
        <w:rPr>
          <w:rFonts w:hint="eastAsia" w:ascii="仿宋" w:hAnsi="仿宋" w:eastAsia="仿宋" w:cs="仿宋"/>
          <w:b/>
          <w:color w:val="auto"/>
          <w:spacing w:val="-20"/>
          <w:kern w:val="0"/>
          <w:sz w:val="21"/>
          <w:szCs w:val="21"/>
          <w:highlight w:val="none"/>
          <w:lang w:eastAsia="zh-CN"/>
        </w:rPr>
        <w:t>磋商文件</w:t>
      </w:r>
      <w:r>
        <w:rPr>
          <w:rFonts w:hint="eastAsia" w:ascii="仿宋" w:hAnsi="仿宋" w:eastAsia="仿宋" w:cs="仿宋"/>
          <w:b/>
          <w:color w:val="auto"/>
          <w:spacing w:val="-20"/>
          <w:kern w:val="0"/>
          <w:sz w:val="21"/>
          <w:szCs w:val="21"/>
          <w:highlight w:val="none"/>
        </w:rPr>
        <w:t>的按</w:t>
      </w:r>
      <w:r>
        <w:rPr>
          <w:rFonts w:hint="eastAsia" w:ascii="仿宋" w:hAnsi="仿宋" w:eastAsia="仿宋" w:cs="仿宋"/>
          <w:b/>
          <w:color w:val="auto"/>
          <w:spacing w:val="-20"/>
          <w:kern w:val="0"/>
          <w:sz w:val="21"/>
          <w:szCs w:val="21"/>
          <w:highlight w:val="none"/>
          <w:lang w:eastAsia="zh-CN"/>
        </w:rPr>
        <w:t>响应文件</w:t>
      </w:r>
      <w:r>
        <w:rPr>
          <w:rFonts w:hint="eastAsia" w:ascii="仿宋" w:hAnsi="仿宋" w:eastAsia="仿宋" w:cs="仿宋"/>
          <w:b/>
          <w:color w:val="auto"/>
          <w:spacing w:val="-20"/>
          <w:kern w:val="0"/>
          <w:sz w:val="21"/>
          <w:szCs w:val="21"/>
          <w:highlight w:val="none"/>
        </w:rPr>
        <w:t>内容拟定，双方可协商增加内容，但必须优于</w:t>
      </w:r>
      <w:r>
        <w:rPr>
          <w:rFonts w:hint="eastAsia" w:ascii="仿宋" w:hAnsi="仿宋" w:eastAsia="仿宋" w:cs="仿宋"/>
          <w:b/>
          <w:color w:val="auto"/>
          <w:spacing w:val="-20"/>
          <w:kern w:val="0"/>
          <w:sz w:val="21"/>
          <w:szCs w:val="21"/>
          <w:highlight w:val="none"/>
          <w:lang w:eastAsia="zh-CN"/>
        </w:rPr>
        <w:t>磋商文件</w:t>
      </w:r>
      <w:r>
        <w:rPr>
          <w:rFonts w:hint="eastAsia" w:ascii="仿宋" w:hAnsi="仿宋" w:eastAsia="仿宋" w:cs="仿宋"/>
          <w:b/>
          <w:color w:val="auto"/>
          <w:spacing w:val="-20"/>
          <w:kern w:val="0"/>
          <w:sz w:val="21"/>
          <w:szCs w:val="21"/>
          <w:highlight w:val="none"/>
        </w:rPr>
        <w:t>要求和</w:t>
      </w:r>
      <w:r>
        <w:rPr>
          <w:rFonts w:hint="eastAsia" w:ascii="仿宋" w:hAnsi="仿宋" w:eastAsia="仿宋" w:cs="仿宋"/>
          <w:b/>
          <w:color w:val="auto"/>
          <w:spacing w:val="-20"/>
          <w:kern w:val="0"/>
          <w:sz w:val="21"/>
          <w:szCs w:val="21"/>
          <w:highlight w:val="none"/>
          <w:lang w:eastAsia="zh-CN"/>
        </w:rPr>
        <w:t>响应文件</w:t>
      </w:r>
      <w:r>
        <w:rPr>
          <w:rFonts w:hint="eastAsia" w:ascii="仿宋" w:hAnsi="仿宋" w:eastAsia="仿宋" w:cs="仿宋"/>
          <w:b/>
          <w:color w:val="auto"/>
          <w:spacing w:val="-20"/>
          <w:kern w:val="0"/>
          <w:sz w:val="21"/>
          <w:szCs w:val="21"/>
          <w:highlight w:val="none"/>
        </w:rPr>
        <w:t>响应内容）</w:t>
      </w:r>
    </w:p>
    <w:p w14:paraId="72EA20FE">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（一）产品/设备及其备附件的包装应为出厂时的原包装，包装内应附有详细的装箱清单、出厂合格证明及其他相关资料。</w:t>
      </w:r>
    </w:p>
    <w:p w14:paraId="45921615">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（二）运输由乙方负责，运杂费已包含在合同总价内，包括从产品/设备供应地点运送至交付地点所含的运输费、装卸费、仓储费、保险费等。</w:t>
      </w:r>
    </w:p>
    <w:p w14:paraId="5BA48A70">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（三）运输方式由乙方自行选择，但必须保证按期交付。</w:t>
      </w:r>
    </w:p>
    <w:p w14:paraId="7D508C96">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（四）产品/设备及其备附件到达甲方指定地点后，乙方应按有关技术规程和甲方要求进行存放和保管。</w:t>
      </w:r>
    </w:p>
    <w:p w14:paraId="217ED5B3">
      <w:pPr>
        <w:keepNext w:val="0"/>
        <w:keepLines w:val="0"/>
        <w:pageBreakBefore w:val="0"/>
        <w:widowControl w:val="0"/>
        <w:kinsoku/>
        <w:wordWrap/>
        <w:overflowPunct/>
        <w:topLinePunct w:val="0"/>
        <w:bidi w:val="0"/>
        <w:snapToGrid/>
        <w:spacing w:line="360" w:lineRule="auto"/>
        <w:ind w:firstLine="422" w:firstLineChars="200"/>
        <w:textAlignment w:val="auto"/>
        <w:rPr>
          <w:rFonts w:hint="eastAsia" w:ascii="仿宋" w:hAnsi="仿宋" w:eastAsia="仿宋" w:cs="仿宋"/>
          <w:color w:val="auto"/>
          <w:sz w:val="21"/>
          <w:szCs w:val="21"/>
          <w:highlight w:val="none"/>
        </w:rPr>
      </w:pPr>
      <w:r>
        <w:rPr>
          <w:rFonts w:hint="eastAsia" w:ascii="仿宋" w:hAnsi="仿宋" w:eastAsia="仿宋" w:cs="仿宋"/>
          <w:b/>
          <w:color w:val="auto"/>
          <w:sz w:val="21"/>
          <w:szCs w:val="21"/>
          <w:highlight w:val="none"/>
        </w:rPr>
        <w:t>（五）双方拟定的其他条款。</w:t>
      </w:r>
    </w:p>
    <w:p w14:paraId="5A4380C9">
      <w:pPr>
        <w:keepNext w:val="0"/>
        <w:keepLines w:val="0"/>
        <w:pageBreakBefore w:val="0"/>
        <w:widowControl w:val="0"/>
        <w:kinsoku/>
        <w:wordWrap/>
        <w:overflowPunct/>
        <w:topLinePunct w:val="0"/>
        <w:bidi w:val="0"/>
        <w:snapToGrid/>
        <w:spacing w:line="360" w:lineRule="auto"/>
        <w:ind w:firstLine="342" w:firstLineChars="200"/>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八、验收</w:t>
      </w:r>
    </w:p>
    <w:p w14:paraId="42A209E1">
      <w:pPr>
        <w:keepNext w:val="0"/>
        <w:keepLines w:val="0"/>
        <w:pageBreakBefore w:val="0"/>
        <w:widowControl w:val="0"/>
        <w:tabs>
          <w:tab w:val="left" w:pos="480"/>
        </w:tabs>
        <w:kinsoku/>
        <w:wordWrap/>
        <w:overflowPunct/>
        <w:topLinePunct w:val="0"/>
        <w:bidi w:val="0"/>
        <w:snapToGrid/>
        <w:spacing w:line="360" w:lineRule="auto"/>
        <w:ind w:firstLine="335" w:firstLineChars="196"/>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（以下内容仅供参考，具体内容按照</w:t>
      </w:r>
      <w:r>
        <w:rPr>
          <w:rFonts w:hint="eastAsia" w:ascii="仿宋" w:hAnsi="仿宋" w:eastAsia="仿宋" w:cs="仿宋"/>
          <w:b/>
          <w:color w:val="auto"/>
          <w:spacing w:val="-20"/>
          <w:kern w:val="0"/>
          <w:sz w:val="21"/>
          <w:szCs w:val="21"/>
          <w:highlight w:val="none"/>
          <w:lang w:eastAsia="zh-CN"/>
        </w:rPr>
        <w:t>磋商文件</w:t>
      </w:r>
      <w:r>
        <w:rPr>
          <w:rFonts w:hint="eastAsia" w:ascii="仿宋" w:hAnsi="仿宋" w:eastAsia="仿宋" w:cs="仿宋"/>
          <w:b/>
          <w:color w:val="auto"/>
          <w:spacing w:val="-20"/>
          <w:kern w:val="0"/>
          <w:sz w:val="21"/>
          <w:szCs w:val="21"/>
          <w:highlight w:val="none"/>
        </w:rPr>
        <w:t>第四章合同条款以及</w:t>
      </w:r>
      <w:r>
        <w:rPr>
          <w:rFonts w:hint="eastAsia" w:ascii="仿宋" w:hAnsi="仿宋" w:eastAsia="仿宋" w:cs="仿宋"/>
          <w:b/>
          <w:color w:val="auto"/>
          <w:spacing w:val="-20"/>
          <w:kern w:val="0"/>
          <w:sz w:val="21"/>
          <w:szCs w:val="21"/>
          <w:highlight w:val="none"/>
          <w:lang w:eastAsia="zh-CN"/>
        </w:rPr>
        <w:t>响应文件</w:t>
      </w:r>
      <w:r>
        <w:rPr>
          <w:rFonts w:hint="eastAsia" w:ascii="仿宋" w:hAnsi="仿宋" w:eastAsia="仿宋" w:cs="仿宋"/>
          <w:b/>
          <w:color w:val="auto"/>
          <w:spacing w:val="-20"/>
          <w:kern w:val="0"/>
          <w:sz w:val="21"/>
          <w:szCs w:val="21"/>
          <w:highlight w:val="none"/>
        </w:rPr>
        <w:t>响应条款中的对应内容拟定，若</w:t>
      </w:r>
      <w:r>
        <w:rPr>
          <w:rFonts w:hint="eastAsia" w:ascii="仿宋" w:hAnsi="仿宋" w:eastAsia="仿宋" w:cs="仿宋"/>
          <w:b/>
          <w:color w:val="auto"/>
          <w:spacing w:val="-20"/>
          <w:kern w:val="0"/>
          <w:sz w:val="21"/>
          <w:szCs w:val="21"/>
          <w:highlight w:val="none"/>
          <w:lang w:eastAsia="zh-CN"/>
        </w:rPr>
        <w:t>响应文件</w:t>
      </w:r>
      <w:r>
        <w:rPr>
          <w:rFonts w:hint="eastAsia" w:ascii="仿宋" w:hAnsi="仿宋" w:eastAsia="仿宋" w:cs="仿宋"/>
          <w:b/>
          <w:color w:val="auto"/>
          <w:spacing w:val="-20"/>
          <w:kern w:val="0"/>
          <w:sz w:val="21"/>
          <w:szCs w:val="21"/>
          <w:highlight w:val="none"/>
        </w:rPr>
        <w:t>响应条款优于</w:t>
      </w:r>
      <w:r>
        <w:rPr>
          <w:rFonts w:hint="eastAsia" w:ascii="仿宋" w:hAnsi="仿宋" w:eastAsia="仿宋" w:cs="仿宋"/>
          <w:b/>
          <w:color w:val="auto"/>
          <w:spacing w:val="-20"/>
          <w:kern w:val="0"/>
          <w:sz w:val="21"/>
          <w:szCs w:val="21"/>
          <w:highlight w:val="none"/>
          <w:lang w:eastAsia="zh-CN"/>
        </w:rPr>
        <w:t>磋商文件</w:t>
      </w:r>
      <w:r>
        <w:rPr>
          <w:rFonts w:hint="eastAsia" w:ascii="仿宋" w:hAnsi="仿宋" w:eastAsia="仿宋" w:cs="仿宋"/>
          <w:b/>
          <w:color w:val="auto"/>
          <w:spacing w:val="-20"/>
          <w:kern w:val="0"/>
          <w:sz w:val="21"/>
          <w:szCs w:val="21"/>
          <w:highlight w:val="none"/>
        </w:rPr>
        <w:t>的按</w:t>
      </w:r>
      <w:r>
        <w:rPr>
          <w:rFonts w:hint="eastAsia" w:ascii="仿宋" w:hAnsi="仿宋" w:eastAsia="仿宋" w:cs="仿宋"/>
          <w:b/>
          <w:color w:val="auto"/>
          <w:spacing w:val="-20"/>
          <w:kern w:val="0"/>
          <w:sz w:val="21"/>
          <w:szCs w:val="21"/>
          <w:highlight w:val="none"/>
          <w:lang w:eastAsia="zh-CN"/>
        </w:rPr>
        <w:t>响应文件</w:t>
      </w:r>
      <w:r>
        <w:rPr>
          <w:rFonts w:hint="eastAsia" w:ascii="仿宋" w:hAnsi="仿宋" w:eastAsia="仿宋" w:cs="仿宋"/>
          <w:b/>
          <w:color w:val="auto"/>
          <w:spacing w:val="-20"/>
          <w:kern w:val="0"/>
          <w:sz w:val="21"/>
          <w:szCs w:val="21"/>
          <w:highlight w:val="none"/>
        </w:rPr>
        <w:t>内容拟定，双方可协商增加内容，但必须优于</w:t>
      </w:r>
      <w:r>
        <w:rPr>
          <w:rFonts w:hint="eastAsia" w:ascii="仿宋" w:hAnsi="仿宋" w:eastAsia="仿宋" w:cs="仿宋"/>
          <w:b/>
          <w:color w:val="auto"/>
          <w:spacing w:val="-20"/>
          <w:kern w:val="0"/>
          <w:sz w:val="21"/>
          <w:szCs w:val="21"/>
          <w:highlight w:val="none"/>
          <w:lang w:eastAsia="zh-CN"/>
        </w:rPr>
        <w:t>磋商文件</w:t>
      </w:r>
      <w:r>
        <w:rPr>
          <w:rFonts w:hint="eastAsia" w:ascii="仿宋" w:hAnsi="仿宋" w:eastAsia="仿宋" w:cs="仿宋"/>
          <w:b/>
          <w:color w:val="auto"/>
          <w:spacing w:val="-20"/>
          <w:kern w:val="0"/>
          <w:sz w:val="21"/>
          <w:szCs w:val="21"/>
          <w:highlight w:val="none"/>
        </w:rPr>
        <w:t>要求和</w:t>
      </w:r>
      <w:r>
        <w:rPr>
          <w:rFonts w:hint="eastAsia" w:ascii="仿宋" w:hAnsi="仿宋" w:eastAsia="仿宋" w:cs="仿宋"/>
          <w:b/>
          <w:color w:val="auto"/>
          <w:spacing w:val="-20"/>
          <w:kern w:val="0"/>
          <w:sz w:val="21"/>
          <w:szCs w:val="21"/>
          <w:highlight w:val="none"/>
          <w:lang w:eastAsia="zh-CN"/>
        </w:rPr>
        <w:t>响应文件</w:t>
      </w:r>
      <w:r>
        <w:rPr>
          <w:rFonts w:hint="eastAsia" w:ascii="仿宋" w:hAnsi="仿宋" w:eastAsia="仿宋" w:cs="仿宋"/>
          <w:b/>
          <w:color w:val="auto"/>
          <w:spacing w:val="-20"/>
          <w:kern w:val="0"/>
          <w:sz w:val="21"/>
          <w:szCs w:val="21"/>
          <w:highlight w:val="none"/>
        </w:rPr>
        <w:t>响应内容）</w:t>
      </w:r>
    </w:p>
    <w:p w14:paraId="70BD53A0">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（一）现场验收：产品/设备及其备附件到达甲方指定地点后，甲方根据合同要求，在乙方和甲方相关负责人双方同时在场的情况下，进行外观验收，确认产地、规格、型号和数量。</w:t>
      </w:r>
    </w:p>
    <w:p w14:paraId="40B092D5">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安装调试：乙方应配合甲方的工期要求，负责在现场对产品/设备进行安装、调试和试运行，直至验收合格。乙方应提供全部安装、调试过程中所需的材料、设施设备、人工等。试运行应当在甲方的监督下进行。</w:t>
      </w:r>
    </w:p>
    <w:p w14:paraId="1BD60328">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三）最终验收：产品/设备安装调试和运行后，由乙方向甲方递交产品/设备安装调试记录和竣工通知书，经甲方确认后，组织乙方进行系统验收（必要时甲方可委托具有相关资质的第三方检测机构/技术专家对产品/设备进行系统验收，需要国家法定检验部门进行检验或验收的由乙方负责联系）。验收合格后，填写政府采购项目履约验收单（一式伍份）作为对产品/设备的最终认可。政府采购项目履约验收单送采购代理机构一份，并据此退还履约保证金。</w:t>
      </w:r>
    </w:p>
    <w:p w14:paraId="1C50D492">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（四）验收依据</w:t>
      </w:r>
    </w:p>
    <w:p w14:paraId="1C861669">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r>
        <w:rPr>
          <w:rFonts w:hint="eastAsia" w:ascii="仿宋" w:hAnsi="仿宋" w:eastAsia="仿宋" w:cs="仿宋"/>
          <w:color w:val="auto"/>
          <w:sz w:val="21"/>
          <w:szCs w:val="21"/>
          <w:highlight w:val="none"/>
          <w:lang w:eastAsia="zh-CN"/>
        </w:rPr>
        <w:t>磋商文件</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eastAsia="zh-CN"/>
        </w:rPr>
        <w:t>响应文件</w:t>
      </w:r>
      <w:r>
        <w:rPr>
          <w:rFonts w:hint="eastAsia" w:ascii="仿宋" w:hAnsi="仿宋" w:eastAsia="仿宋" w:cs="仿宋"/>
          <w:color w:val="auto"/>
          <w:sz w:val="21"/>
          <w:szCs w:val="21"/>
          <w:highlight w:val="none"/>
        </w:rPr>
        <w:t>、澄清表（函）；</w:t>
      </w:r>
    </w:p>
    <w:p w14:paraId="11C25AF9">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2、本合同及附件文本；</w:t>
      </w:r>
    </w:p>
    <w:p w14:paraId="7E56F624">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3、合同签订时国家及行业现行的标准和技术规范。</w:t>
      </w:r>
    </w:p>
    <w:p w14:paraId="68F6304C">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（五）乙方应向甲方提交项目实施过程中的所有资料，以便甲方日后管理和维护。</w:t>
      </w:r>
    </w:p>
    <w:p w14:paraId="37C5B161">
      <w:pPr>
        <w:keepNext w:val="0"/>
        <w:keepLines w:val="0"/>
        <w:pageBreakBefore w:val="0"/>
        <w:widowControl w:val="0"/>
        <w:kinsoku/>
        <w:wordWrap/>
        <w:overflowPunct/>
        <w:topLinePunct w:val="0"/>
        <w:bidi w:val="0"/>
        <w:snapToGrid/>
        <w:spacing w:line="360" w:lineRule="auto"/>
        <w:ind w:firstLine="422" w:firstLineChars="200"/>
        <w:textAlignment w:val="auto"/>
        <w:rPr>
          <w:rFonts w:hint="eastAsia" w:ascii="仿宋" w:hAnsi="仿宋" w:eastAsia="仿宋" w:cs="仿宋"/>
          <w:color w:val="auto"/>
          <w:sz w:val="21"/>
          <w:szCs w:val="21"/>
          <w:highlight w:val="none"/>
        </w:rPr>
      </w:pPr>
      <w:r>
        <w:rPr>
          <w:rFonts w:hint="eastAsia" w:ascii="仿宋" w:hAnsi="仿宋" w:eastAsia="仿宋" w:cs="仿宋"/>
          <w:b/>
          <w:color w:val="auto"/>
          <w:sz w:val="21"/>
          <w:szCs w:val="21"/>
          <w:highlight w:val="none"/>
        </w:rPr>
        <w:t>（六）双方拟定的其他条款。</w:t>
      </w:r>
    </w:p>
    <w:p w14:paraId="3E893EF5">
      <w:pPr>
        <w:keepNext w:val="0"/>
        <w:keepLines w:val="0"/>
        <w:pageBreakBefore w:val="0"/>
        <w:widowControl w:val="0"/>
        <w:kinsoku/>
        <w:wordWrap/>
        <w:overflowPunct/>
        <w:topLinePunct w:val="0"/>
        <w:bidi w:val="0"/>
        <w:snapToGrid/>
        <w:spacing w:line="360" w:lineRule="auto"/>
        <w:ind w:firstLine="342" w:firstLineChars="200"/>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九、售后服务</w:t>
      </w:r>
    </w:p>
    <w:p w14:paraId="1CFCE15D">
      <w:pPr>
        <w:keepNext w:val="0"/>
        <w:keepLines w:val="0"/>
        <w:pageBreakBefore w:val="0"/>
        <w:widowControl w:val="0"/>
        <w:tabs>
          <w:tab w:val="left" w:pos="480"/>
        </w:tabs>
        <w:kinsoku/>
        <w:wordWrap/>
        <w:overflowPunct/>
        <w:topLinePunct w:val="0"/>
        <w:bidi w:val="0"/>
        <w:snapToGrid/>
        <w:spacing w:line="360" w:lineRule="auto"/>
        <w:ind w:firstLine="335" w:firstLineChars="196"/>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（以下内容仅供参考，具体内容按照</w:t>
      </w:r>
      <w:r>
        <w:rPr>
          <w:rFonts w:hint="eastAsia" w:ascii="仿宋" w:hAnsi="仿宋" w:eastAsia="仿宋" w:cs="仿宋"/>
          <w:b/>
          <w:color w:val="auto"/>
          <w:spacing w:val="-20"/>
          <w:kern w:val="0"/>
          <w:sz w:val="21"/>
          <w:szCs w:val="21"/>
          <w:highlight w:val="none"/>
          <w:lang w:eastAsia="zh-CN"/>
        </w:rPr>
        <w:t>磋商文件</w:t>
      </w:r>
      <w:r>
        <w:rPr>
          <w:rFonts w:hint="eastAsia" w:ascii="仿宋" w:hAnsi="仿宋" w:eastAsia="仿宋" w:cs="仿宋"/>
          <w:b/>
          <w:color w:val="auto"/>
          <w:spacing w:val="-20"/>
          <w:kern w:val="0"/>
          <w:sz w:val="21"/>
          <w:szCs w:val="21"/>
          <w:highlight w:val="none"/>
        </w:rPr>
        <w:t>第四章合同条款以及</w:t>
      </w:r>
      <w:r>
        <w:rPr>
          <w:rFonts w:hint="eastAsia" w:ascii="仿宋" w:hAnsi="仿宋" w:eastAsia="仿宋" w:cs="仿宋"/>
          <w:b/>
          <w:color w:val="auto"/>
          <w:spacing w:val="-20"/>
          <w:kern w:val="0"/>
          <w:sz w:val="21"/>
          <w:szCs w:val="21"/>
          <w:highlight w:val="none"/>
          <w:lang w:eastAsia="zh-CN"/>
        </w:rPr>
        <w:t>响应文件</w:t>
      </w:r>
      <w:r>
        <w:rPr>
          <w:rFonts w:hint="eastAsia" w:ascii="仿宋" w:hAnsi="仿宋" w:eastAsia="仿宋" w:cs="仿宋"/>
          <w:b/>
          <w:color w:val="auto"/>
          <w:spacing w:val="-20"/>
          <w:kern w:val="0"/>
          <w:sz w:val="21"/>
          <w:szCs w:val="21"/>
          <w:highlight w:val="none"/>
        </w:rPr>
        <w:t>响应条款中的对应内容拟定，若</w:t>
      </w:r>
      <w:r>
        <w:rPr>
          <w:rFonts w:hint="eastAsia" w:ascii="仿宋" w:hAnsi="仿宋" w:eastAsia="仿宋" w:cs="仿宋"/>
          <w:b/>
          <w:color w:val="auto"/>
          <w:spacing w:val="-20"/>
          <w:kern w:val="0"/>
          <w:sz w:val="21"/>
          <w:szCs w:val="21"/>
          <w:highlight w:val="none"/>
          <w:lang w:eastAsia="zh-CN"/>
        </w:rPr>
        <w:t>响应文件</w:t>
      </w:r>
      <w:r>
        <w:rPr>
          <w:rFonts w:hint="eastAsia" w:ascii="仿宋" w:hAnsi="仿宋" w:eastAsia="仿宋" w:cs="仿宋"/>
          <w:b/>
          <w:color w:val="auto"/>
          <w:spacing w:val="-20"/>
          <w:kern w:val="0"/>
          <w:sz w:val="21"/>
          <w:szCs w:val="21"/>
          <w:highlight w:val="none"/>
        </w:rPr>
        <w:t>响应条款优于</w:t>
      </w:r>
      <w:r>
        <w:rPr>
          <w:rFonts w:hint="eastAsia" w:ascii="仿宋" w:hAnsi="仿宋" w:eastAsia="仿宋" w:cs="仿宋"/>
          <w:b/>
          <w:color w:val="auto"/>
          <w:spacing w:val="-20"/>
          <w:kern w:val="0"/>
          <w:sz w:val="21"/>
          <w:szCs w:val="21"/>
          <w:highlight w:val="none"/>
          <w:lang w:eastAsia="zh-CN"/>
        </w:rPr>
        <w:t>磋商文件</w:t>
      </w:r>
      <w:r>
        <w:rPr>
          <w:rFonts w:hint="eastAsia" w:ascii="仿宋" w:hAnsi="仿宋" w:eastAsia="仿宋" w:cs="仿宋"/>
          <w:b/>
          <w:color w:val="auto"/>
          <w:spacing w:val="-20"/>
          <w:kern w:val="0"/>
          <w:sz w:val="21"/>
          <w:szCs w:val="21"/>
          <w:highlight w:val="none"/>
        </w:rPr>
        <w:t>的按</w:t>
      </w:r>
      <w:r>
        <w:rPr>
          <w:rFonts w:hint="eastAsia" w:ascii="仿宋" w:hAnsi="仿宋" w:eastAsia="仿宋" w:cs="仿宋"/>
          <w:b/>
          <w:color w:val="auto"/>
          <w:spacing w:val="-20"/>
          <w:kern w:val="0"/>
          <w:sz w:val="21"/>
          <w:szCs w:val="21"/>
          <w:highlight w:val="none"/>
          <w:lang w:eastAsia="zh-CN"/>
        </w:rPr>
        <w:t>响应文件</w:t>
      </w:r>
      <w:r>
        <w:rPr>
          <w:rFonts w:hint="eastAsia" w:ascii="仿宋" w:hAnsi="仿宋" w:eastAsia="仿宋" w:cs="仿宋"/>
          <w:b/>
          <w:color w:val="auto"/>
          <w:spacing w:val="-20"/>
          <w:kern w:val="0"/>
          <w:sz w:val="21"/>
          <w:szCs w:val="21"/>
          <w:highlight w:val="none"/>
        </w:rPr>
        <w:t>内容拟定，双方可协商增加内容，但必须优于</w:t>
      </w:r>
      <w:r>
        <w:rPr>
          <w:rFonts w:hint="eastAsia" w:ascii="仿宋" w:hAnsi="仿宋" w:eastAsia="仿宋" w:cs="仿宋"/>
          <w:b/>
          <w:color w:val="auto"/>
          <w:spacing w:val="-20"/>
          <w:kern w:val="0"/>
          <w:sz w:val="21"/>
          <w:szCs w:val="21"/>
          <w:highlight w:val="none"/>
          <w:lang w:eastAsia="zh-CN"/>
        </w:rPr>
        <w:t>磋商文件</w:t>
      </w:r>
      <w:r>
        <w:rPr>
          <w:rFonts w:hint="eastAsia" w:ascii="仿宋" w:hAnsi="仿宋" w:eastAsia="仿宋" w:cs="仿宋"/>
          <w:b/>
          <w:color w:val="auto"/>
          <w:spacing w:val="-20"/>
          <w:kern w:val="0"/>
          <w:sz w:val="21"/>
          <w:szCs w:val="21"/>
          <w:highlight w:val="none"/>
        </w:rPr>
        <w:t>要求和</w:t>
      </w:r>
      <w:r>
        <w:rPr>
          <w:rFonts w:hint="eastAsia" w:ascii="仿宋" w:hAnsi="仿宋" w:eastAsia="仿宋" w:cs="仿宋"/>
          <w:b/>
          <w:color w:val="auto"/>
          <w:spacing w:val="-20"/>
          <w:kern w:val="0"/>
          <w:sz w:val="21"/>
          <w:szCs w:val="21"/>
          <w:highlight w:val="none"/>
          <w:lang w:eastAsia="zh-CN"/>
        </w:rPr>
        <w:t>响应文件</w:t>
      </w:r>
      <w:r>
        <w:rPr>
          <w:rFonts w:hint="eastAsia" w:ascii="仿宋" w:hAnsi="仿宋" w:eastAsia="仿宋" w:cs="仿宋"/>
          <w:b/>
          <w:color w:val="auto"/>
          <w:spacing w:val="-20"/>
          <w:kern w:val="0"/>
          <w:sz w:val="21"/>
          <w:szCs w:val="21"/>
          <w:highlight w:val="none"/>
        </w:rPr>
        <w:t>响应内容）</w:t>
      </w:r>
    </w:p>
    <w:p w14:paraId="45481BED">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乙方提供以下售后服务：</w:t>
      </w:r>
    </w:p>
    <w:p w14:paraId="67968F91">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质量保证期：自甲方签发最终验收合格证书之日起</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年，若该质量保证期小于国家标准，则以国家标准为准。产品/设备终身维修。</w:t>
      </w:r>
    </w:p>
    <w:p w14:paraId="1F2E019F">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（一）质保期内</w:t>
      </w:r>
    </w:p>
    <w:p w14:paraId="45CFD8E6">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凡正常使用中出现的故障，均由乙方负责提供免费检测维修、更换不合格的零部件直至整机（更换的零部件或整机应保证自更换之日起提供相同的质量保证期），若需返厂处理，乙方应承担相关费用。同时记录检修情况，并向甲方提供检修报告。</w:t>
      </w:r>
    </w:p>
    <w:p w14:paraId="5E8C8709">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2、凡设备发生质量问题或出现其他故障，接到甲方通知后，服务响应时间不超过</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小时，</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小时内派专业维修人员到达现场，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小时内排除故障。排除故障的期限最长不得超过两个工作日，否则甲方有权指定第三方维修，维修费用由乙方承担。</w:t>
      </w:r>
    </w:p>
    <w:p w14:paraId="231BCB62">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3、免费提供每周</w:t>
      </w:r>
      <w:r>
        <w:rPr>
          <w:rFonts w:hint="eastAsia" w:ascii="仿宋" w:hAnsi="仿宋" w:eastAsia="仿宋" w:cs="仿宋"/>
          <w:color w:val="auto"/>
          <w:sz w:val="21"/>
          <w:szCs w:val="21"/>
          <w:highlight w:val="none"/>
          <w:u w:val="single"/>
        </w:rPr>
        <w:t>7×24</w:t>
      </w:r>
      <w:r>
        <w:rPr>
          <w:rFonts w:hint="eastAsia" w:ascii="仿宋" w:hAnsi="仿宋" w:eastAsia="仿宋" w:cs="仿宋"/>
          <w:color w:val="auto"/>
          <w:sz w:val="21"/>
          <w:szCs w:val="21"/>
          <w:highlight w:val="none"/>
        </w:rPr>
        <w:t>小时不间断的电话支持服务，解答用户在使用过程中遇到的问题，及时提出解决问题的建议和对策。</w:t>
      </w:r>
    </w:p>
    <w:p w14:paraId="64F137C3">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4、定期派专业维修人员到现场走访，给予检查维护。并向甲方提供巡检单（一式两份，由双方签字确认），内容包含但不限于巡检时间、巡检内容、巡检结果。</w:t>
      </w:r>
    </w:p>
    <w:p w14:paraId="3F2FD572">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5、款项结清前，对所供产品/设备进行一次全面检测、保养和维护。</w:t>
      </w:r>
    </w:p>
    <w:p w14:paraId="1D3432B9">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（二）质保期满后</w:t>
      </w:r>
    </w:p>
    <w:p w14:paraId="2FB6EC09">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乙方应保证以合理的价格提供维护和保养服务，当发生故障时，乙方应按质保期内相同的服务标准进行维护处理。</w:t>
      </w:r>
    </w:p>
    <w:p w14:paraId="72F67EC4">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（三）人员培训</w:t>
      </w:r>
    </w:p>
    <w:p w14:paraId="33946AE1">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提供产品/设备的现场/驻厂培训，使甲方操作、维护人员</w:t>
      </w:r>
      <w:r>
        <w:rPr>
          <w:rFonts w:hint="eastAsia" w:ascii="仿宋" w:hAnsi="仿宋" w:eastAsia="仿宋" w:cs="仿宋"/>
          <w:b/>
          <w:color w:val="auto"/>
          <w:sz w:val="21"/>
          <w:szCs w:val="21"/>
          <w:highlight w:val="none"/>
        </w:rPr>
        <w:t>（约×人）</w:t>
      </w:r>
      <w:r>
        <w:rPr>
          <w:rFonts w:hint="eastAsia" w:ascii="仿宋" w:hAnsi="仿宋" w:eastAsia="仿宋" w:cs="仿宋"/>
          <w:color w:val="auto"/>
          <w:sz w:val="21"/>
          <w:szCs w:val="21"/>
          <w:highlight w:val="none"/>
        </w:rPr>
        <w:t>掌握操作使用、维护保养及其他必备知识。甲方要求派遣专业技术人员参与项目实施的，在项目整体实施及质保期内，随时向甲方技术人员讲解技术和实施方案。培训费用已包含在合同总价内。</w:t>
      </w:r>
    </w:p>
    <w:p w14:paraId="04329FEB">
      <w:pPr>
        <w:keepNext w:val="0"/>
        <w:keepLines w:val="0"/>
        <w:pageBreakBefore w:val="0"/>
        <w:widowControl w:val="0"/>
        <w:kinsoku/>
        <w:wordWrap/>
        <w:overflowPunct/>
        <w:topLinePunct w:val="0"/>
        <w:bidi w:val="0"/>
        <w:snapToGrid/>
        <w:spacing w:line="360" w:lineRule="auto"/>
        <w:ind w:firstLine="422" w:firstLineChars="200"/>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（四）双方拟定的其他条款。</w:t>
      </w:r>
    </w:p>
    <w:p w14:paraId="6074E088">
      <w:pPr>
        <w:keepNext w:val="0"/>
        <w:keepLines w:val="0"/>
        <w:pageBreakBefore w:val="0"/>
        <w:widowControl w:val="0"/>
        <w:tabs>
          <w:tab w:val="left" w:pos="480"/>
        </w:tabs>
        <w:kinsoku/>
        <w:wordWrap/>
        <w:overflowPunct/>
        <w:topLinePunct w:val="0"/>
        <w:bidi w:val="0"/>
        <w:snapToGrid/>
        <w:spacing w:line="360" w:lineRule="auto"/>
        <w:ind w:firstLine="335" w:firstLineChars="196"/>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十、技术与服务</w:t>
      </w:r>
    </w:p>
    <w:p w14:paraId="40D9955C">
      <w:pPr>
        <w:keepNext w:val="0"/>
        <w:keepLines w:val="0"/>
        <w:pageBreakBefore w:val="0"/>
        <w:widowControl w:val="0"/>
        <w:tabs>
          <w:tab w:val="left" w:pos="480"/>
        </w:tabs>
        <w:kinsoku/>
        <w:wordWrap/>
        <w:overflowPunct/>
        <w:topLinePunct w:val="0"/>
        <w:bidi w:val="0"/>
        <w:snapToGrid/>
        <w:spacing w:line="360" w:lineRule="auto"/>
        <w:ind w:firstLine="335" w:firstLineChars="196"/>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（以下内容仅供参考，具体内容按照</w:t>
      </w:r>
      <w:r>
        <w:rPr>
          <w:rFonts w:hint="eastAsia" w:ascii="仿宋" w:hAnsi="仿宋" w:eastAsia="仿宋" w:cs="仿宋"/>
          <w:b/>
          <w:color w:val="auto"/>
          <w:spacing w:val="-20"/>
          <w:kern w:val="0"/>
          <w:sz w:val="21"/>
          <w:szCs w:val="21"/>
          <w:highlight w:val="none"/>
          <w:lang w:eastAsia="zh-CN"/>
        </w:rPr>
        <w:t>磋商文件</w:t>
      </w:r>
      <w:r>
        <w:rPr>
          <w:rFonts w:hint="eastAsia" w:ascii="仿宋" w:hAnsi="仿宋" w:eastAsia="仿宋" w:cs="仿宋"/>
          <w:b/>
          <w:color w:val="auto"/>
          <w:spacing w:val="-20"/>
          <w:kern w:val="0"/>
          <w:sz w:val="21"/>
          <w:szCs w:val="21"/>
          <w:highlight w:val="none"/>
        </w:rPr>
        <w:t>第四章合同条款以及</w:t>
      </w:r>
      <w:r>
        <w:rPr>
          <w:rFonts w:hint="eastAsia" w:ascii="仿宋" w:hAnsi="仿宋" w:eastAsia="仿宋" w:cs="仿宋"/>
          <w:b/>
          <w:color w:val="auto"/>
          <w:spacing w:val="-20"/>
          <w:kern w:val="0"/>
          <w:sz w:val="21"/>
          <w:szCs w:val="21"/>
          <w:highlight w:val="none"/>
          <w:lang w:eastAsia="zh-CN"/>
        </w:rPr>
        <w:t>响应文件</w:t>
      </w:r>
      <w:r>
        <w:rPr>
          <w:rFonts w:hint="eastAsia" w:ascii="仿宋" w:hAnsi="仿宋" w:eastAsia="仿宋" w:cs="仿宋"/>
          <w:b/>
          <w:color w:val="auto"/>
          <w:spacing w:val="-20"/>
          <w:kern w:val="0"/>
          <w:sz w:val="21"/>
          <w:szCs w:val="21"/>
          <w:highlight w:val="none"/>
        </w:rPr>
        <w:t>响应条款中的对应内容拟定，若</w:t>
      </w:r>
      <w:r>
        <w:rPr>
          <w:rFonts w:hint="eastAsia" w:ascii="仿宋" w:hAnsi="仿宋" w:eastAsia="仿宋" w:cs="仿宋"/>
          <w:b/>
          <w:color w:val="auto"/>
          <w:spacing w:val="-20"/>
          <w:kern w:val="0"/>
          <w:sz w:val="21"/>
          <w:szCs w:val="21"/>
          <w:highlight w:val="none"/>
          <w:lang w:eastAsia="zh-CN"/>
        </w:rPr>
        <w:t>响应文件</w:t>
      </w:r>
      <w:r>
        <w:rPr>
          <w:rFonts w:hint="eastAsia" w:ascii="仿宋" w:hAnsi="仿宋" w:eastAsia="仿宋" w:cs="仿宋"/>
          <w:b/>
          <w:color w:val="auto"/>
          <w:spacing w:val="-20"/>
          <w:kern w:val="0"/>
          <w:sz w:val="21"/>
          <w:szCs w:val="21"/>
          <w:highlight w:val="none"/>
        </w:rPr>
        <w:t>响应条款优于</w:t>
      </w:r>
      <w:r>
        <w:rPr>
          <w:rFonts w:hint="eastAsia" w:ascii="仿宋" w:hAnsi="仿宋" w:eastAsia="仿宋" w:cs="仿宋"/>
          <w:b/>
          <w:color w:val="auto"/>
          <w:spacing w:val="-20"/>
          <w:kern w:val="0"/>
          <w:sz w:val="21"/>
          <w:szCs w:val="21"/>
          <w:highlight w:val="none"/>
          <w:lang w:eastAsia="zh-CN"/>
        </w:rPr>
        <w:t>磋商文件</w:t>
      </w:r>
      <w:r>
        <w:rPr>
          <w:rFonts w:hint="eastAsia" w:ascii="仿宋" w:hAnsi="仿宋" w:eastAsia="仿宋" w:cs="仿宋"/>
          <w:b/>
          <w:color w:val="auto"/>
          <w:spacing w:val="-20"/>
          <w:kern w:val="0"/>
          <w:sz w:val="21"/>
          <w:szCs w:val="21"/>
          <w:highlight w:val="none"/>
        </w:rPr>
        <w:t>的按</w:t>
      </w:r>
      <w:r>
        <w:rPr>
          <w:rFonts w:hint="eastAsia" w:ascii="仿宋" w:hAnsi="仿宋" w:eastAsia="仿宋" w:cs="仿宋"/>
          <w:b/>
          <w:color w:val="auto"/>
          <w:spacing w:val="-20"/>
          <w:kern w:val="0"/>
          <w:sz w:val="21"/>
          <w:szCs w:val="21"/>
          <w:highlight w:val="none"/>
          <w:lang w:eastAsia="zh-CN"/>
        </w:rPr>
        <w:t>响应文件</w:t>
      </w:r>
      <w:r>
        <w:rPr>
          <w:rFonts w:hint="eastAsia" w:ascii="仿宋" w:hAnsi="仿宋" w:eastAsia="仿宋" w:cs="仿宋"/>
          <w:b/>
          <w:color w:val="auto"/>
          <w:spacing w:val="-20"/>
          <w:kern w:val="0"/>
          <w:sz w:val="21"/>
          <w:szCs w:val="21"/>
          <w:highlight w:val="none"/>
        </w:rPr>
        <w:t>内容拟定，双方可协商增加内容，但必须优于</w:t>
      </w:r>
      <w:r>
        <w:rPr>
          <w:rFonts w:hint="eastAsia" w:ascii="仿宋" w:hAnsi="仿宋" w:eastAsia="仿宋" w:cs="仿宋"/>
          <w:b/>
          <w:color w:val="auto"/>
          <w:spacing w:val="-20"/>
          <w:kern w:val="0"/>
          <w:sz w:val="21"/>
          <w:szCs w:val="21"/>
          <w:highlight w:val="none"/>
          <w:lang w:eastAsia="zh-CN"/>
        </w:rPr>
        <w:t>磋商文件</w:t>
      </w:r>
      <w:r>
        <w:rPr>
          <w:rFonts w:hint="eastAsia" w:ascii="仿宋" w:hAnsi="仿宋" w:eastAsia="仿宋" w:cs="仿宋"/>
          <w:b/>
          <w:color w:val="auto"/>
          <w:spacing w:val="-20"/>
          <w:kern w:val="0"/>
          <w:sz w:val="21"/>
          <w:szCs w:val="21"/>
          <w:highlight w:val="none"/>
        </w:rPr>
        <w:t>要求和</w:t>
      </w:r>
      <w:r>
        <w:rPr>
          <w:rFonts w:hint="eastAsia" w:ascii="仿宋" w:hAnsi="仿宋" w:eastAsia="仿宋" w:cs="仿宋"/>
          <w:b/>
          <w:color w:val="auto"/>
          <w:spacing w:val="-20"/>
          <w:kern w:val="0"/>
          <w:sz w:val="21"/>
          <w:szCs w:val="21"/>
          <w:highlight w:val="none"/>
          <w:lang w:eastAsia="zh-CN"/>
        </w:rPr>
        <w:t>响应文件</w:t>
      </w:r>
      <w:r>
        <w:rPr>
          <w:rFonts w:hint="eastAsia" w:ascii="仿宋" w:hAnsi="仿宋" w:eastAsia="仿宋" w:cs="仿宋"/>
          <w:b/>
          <w:color w:val="auto"/>
          <w:spacing w:val="-20"/>
          <w:kern w:val="0"/>
          <w:sz w:val="21"/>
          <w:szCs w:val="21"/>
          <w:highlight w:val="none"/>
        </w:rPr>
        <w:t>响应内容）</w:t>
      </w:r>
    </w:p>
    <w:p w14:paraId="7DE526F6">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（一）技术资料</w:t>
      </w:r>
    </w:p>
    <w:p w14:paraId="22AB7371">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1、产品/设备合格证；</w:t>
      </w:r>
    </w:p>
    <w:p w14:paraId="10598AF6">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2、产品/设备技术参数；</w:t>
      </w:r>
    </w:p>
    <w:p w14:paraId="22DE6075">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3、产品/设备使用维护说明书（中文）；</w:t>
      </w:r>
    </w:p>
    <w:p w14:paraId="5CD10E2D">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4、其它资料。</w:t>
      </w:r>
    </w:p>
    <w:p w14:paraId="6EC14EB7">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（二）服务承诺</w:t>
      </w:r>
    </w:p>
    <w:p w14:paraId="66652E8D">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以</w:t>
      </w:r>
      <w:r>
        <w:rPr>
          <w:rFonts w:hint="eastAsia" w:ascii="仿宋" w:hAnsi="仿宋" w:eastAsia="仿宋" w:cs="仿宋"/>
          <w:color w:val="auto"/>
          <w:sz w:val="21"/>
          <w:szCs w:val="21"/>
          <w:highlight w:val="none"/>
          <w:lang w:eastAsia="zh-CN"/>
        </w:rPr>
        <w:t>响应文件</w:t>
      </w:r>
      <w:r>
        <w:rPr>
          <w:rFonts w:hint="eastAsia" w:ascii="仿宋" w:hAnsi="仿宋" w:eastAsia="仿宋" w:cs="仿宋"/>
          <w:color w:val="auto"/>
          <w:sz w:val="21"/>
          <w:szCs w:val="21"/>
          <w:highlight w:val="none"/>
        </w:rPr>
        <w:t>、澄清表（函）、合同和随产品/设备的相关文件为准。</w:t>
      </w:r>
    </w:p>
    <w:p w14:paraId="577DF71E">
      <w:pPr>
        <w:keepNext w:val="0"/>
        <w:keepLines w:val="0"/>
        <w:pageBreakBefore w:val="0"/>
        <w:widowControl w:val="0"/>
        <w:kinsoku/>
        <w:wordWrap/>
        <w:overflowPunct/>
        <w:topLinePunct w:val="0"/>
        <w:bidi w:val="0"/>
        <w:snapToGrid/>
        <w:spacing w:line="360" w:lineRule="auto"/>
        <w:ind w:firstLine="422" w:firstLineChars="200"/>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（三）双方拟定的其他条款。</w:t>
      </w:r>
    </w:p>
    <w:p w14:paraId="37A7FACF">
      <w:pPr>
        <w:keepNext w:val="0"/>
        <w:keepLines w:val="0"/>
        <w:pageBreakBefore w:val="0"/>
        <w:widowControl w:val="0"/>
        <w:tabs>
          <w:tab w:val="left" w:pos="480"/>
        </w:tabs>
        <w:kinsoku/>
        <w:wordWrap/>
        <w:overflowPunct/>
        <w:topLinePunct w:val="0"/>
        <w:bidi w:val="0"/>
        <w:snapToGrid/>
        <w:spacing w:line="360" w:lineRule="auto"/>
        <w:ind w:firstLine="335" w:firstLineChars="196"/>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十一、违约责任</w:t>
      </w:r>
    </w:p>
    <w:p w14:paraId="7545F29A">
      <w:pPr>
        <w:keepNext w:val="0"/>
        <w:keepLines w:val="0"/>
        <w:pageBreakBefore w:val="0"/>
        <w:widowControl w:val="0"/>
        <w:numPr>
          <w:ilvl w:val="0"/>
          <w:numId w:val="0"/>
        </w:numPr>
        <w:tabs>
          <w:tab w:val="left" w:pos="480"/>
        </w:tabs>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（一）按《</w:t>
      </w:r>
      <w:r>
        <w:rPr>
          <w:rFonts w:hint="eastAsia" w:ascii="仿宋" w:hAnsi="仿宋" w:eastAsia="仿宋" w:cs="仿宋"/>
          <w:color w:val="auto"/>
          <w:sz w:val="21"/>
          <w:szCs w:val="21"/>
          <w:highlight w:val="none"/>
          <w:lang w:eastAsia="zh-CN"/>
        </w:rPr>
        <w:t>民法典</w:t>
      </w:r>
      <w:r>
        <w:rPr>
          <w:rFonts w:hint="eastAsia" w:ascii="仿宋" w:hAnsi="仿宋" w:eastAsia="仿宋" w:cs="仿宋"/>
          <w:color w:val="auto"/>
          <w:sz w:val="21"/>
          <w:szCs w:val="21"/>
          <w:highlight w:val="none"/>
        </w:rPr>
        <w:t>》中的相关条款执行。</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lang w:val="en-US" w:eastAsia="zh-CN"/>
        </w:rPr>
        <w:tab/>
      </w:r>
      <w:r>
        <w:rPr>
          <w:rFonts w:hint="eastAsia" w:ascii="仿宋" w:hAnsi="仿宋" w:eastAsia="仿宋" w:cs="仿宋"/>
          <w:color w:val="auto"/>
          <w:sz w:val="21"/>
          <w:szCs w:val="21"/>
          <w:highlight w:val="none"/>
        </w:rPr>
        <w:t>（二）未按合同要求提供产品或产品质量不能满足合同要求，甲方应当将乙方违约的情况以及拟采取的措施以书面形式报政府采购监管部门，根据政府采购监管部门的处理意见，甲方有权依据《</w:t>
      </w:r>
      <w:r>
        <w:rPr>
          <w:rFonts w:hint="eastAsia" w:ascii="仿宋" w:hAnsi="仿宋" w:eastAsia="仿宋" w:cs="仿宋"/>
          <w:color w:val="auto"/>
          <w:sz w:val="21"/>
          <w:szCs w:val="21"/>
          <w:highlight w:val="none"/>
          <w:lang w:eastAsia="zh-CN"/>
        </w:rPr>
        <w:t>民法典</w:t>
      </w:r>
      <w:r>
        <w:rPr>
          <w:rFonts w:hint="eastAsia" w:ascii="仿宋" w:hAnsi="仿宋" w:eastAsia="仿宋" w:cs="仿宋"/>
          <w:color w:val="auto"/>
          <w:sz w:val="21"/>
          <w:szCs w:val="21"/>
          <w:highlight w:val="none"/>
        </w:rPr>
        <w:t>》有关条款及合同约定终止合同，并要求乙方承担违约责任。同时，政府采购监管部门有权依据《政府采购法》及相关法律法规对乙方的违法行为进行相应的处罚</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同时乙方应承担合同总价款30%的违约金。</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lang w:val="en-US" w:eastAsia="zh-CN"/>
        </w:rPr>
        <w:tab/>
      </w:r>
      <w:r>
        <w:rPr>
          <w:rFonts w:hint="eastAsia" w:ascii="仿宋" w:hAnsi="仿宋" w:eastAsia="仿宋" w:cs="仿宋"/>
          <w:color w:val="auto"/>
          <w:sz w:val="21"/>
          <w:szCs w:val="21"/>
          <w:highlight w:val="none"/>
        </w:rPr>
        <w:t>（三）交货期每超过一天，扣除乙方合同总价款的1%</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逾期超过15日，甲方有权解除合同，甲方书面解除通知到达乙方时生效，乙方应承担合同总价款30%的违约金。</w:t>
      </w:r>
    </w:p>
    <w:p w14:paraId="4EF9E973">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p>
    <w:p w14:paraId="75562C18">
      <w:pPr>
        <w:keepNext w:val="0"/>
        <w:keepLines w:val="0"/>
        <w:pageBreakBefore w:val="0"/>
        <w:widowControl w:val="0"/>
        <w:kinsoku/>
        <w:wordWrap/>
        <w:overflowPunct/>
        <w:topLinePunct w:val="0"/>
        <w:bidi w:val="0"/>
        <w:snapToGrid/>
        <w:spacing w:line="360" w:lineRule="auto"/>
        <w:ind w:firstLine="422" w:firstLineChars="200"/>
        <w:textAlignment w:val="auto"/>
        <w:rPr>
          <w:rFonts w:hint="eastAsia" w:ascii="仿宋" w:hAnsi="仿宋" w:eastAsia="仿宋" w:cs="仿宋"/>
          <w:color w:val="auto"/>
          <w:sz w:val="21"/>
          <w:szCs w:val="21"/>
          <w:highlight w:val="none"/>
        </w:rPr>
      </w:pPr>
      <w:r>
        <w:rPr>
          <w:rFonts w:hint="eastAsia" w:ascii="仿宋" w:hAnsi="仿宋" w:eastAsia="仿宋" w:cs="仿宋"/>
          <w:b/>
          <w:color w:val="auto"/>
          <w:sz w:val="21"/>
          <w:szCs w:val="21"/>
          <w:highlight w:val="none"/>
        </w:rPr>
        <w:t>（四）双方拟定的其他条款。</w:t>
      </w:r>
    </w:p>
    <w:p w14:paraId="1C1E4DF7">
      <w:pPr>
        <w:keepNext w:val="0"/>
        <w:keepLines w:val="0"/>
        <w:pageBreakBefore w:val="0"/>
        <w:widowControl w:val="0"/>
        <w:tabs>
          <w:tab w:val="left" w:pos="480"/>
        </w:tabs>
        <w:kinsoku/>
        <w:wordWrap/>
        <w:overflowPunct/>
        <w:topLinePunct w:val="0"/>
        <w:bidi w:val="0"/>
        <w:snapToGrid/>
        <w:spacing w:line="360" w:lineRule="auto"/>
        <w:ind w:firstLine="342" w:firstLineChars="200"/>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十二、争议解决</w:t>
      </w:r>
    </w:p>
    <w:p w14:paraId="04F68B5A">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（一）本合同在履行过程中发生的争议，由甲、乙双方当事人协商解决，协商不成的按下列</w:t>
      </w:r>
      <w:r>
        <w:rPr>
          <w:rStyle w:val="4"/>
          <w:rFonts w:hint="eastAsia" w:ascii="仿宋" w:hAnsi="仿宋" w:eastAsia="仿宋" w:cs="仿宋"/>
          <w:color w:val="auto"/>
          <w:sz w:val="21"/>
          <w:szCs w:val="21"/>
          <w:highlight w:val="none"/>
          <w:lang w:eastAsia="zh-CN"/>
        </w:rPr>
        <w:t>第二种方式解决</w:t>
      </w:r>
      <w:r>
        <w:rPr>
          <w:rFonts w:hint="eastAsia" w:ascii="仿宋" w:hAnsi="仿宋" w:eastAsia="仿宋" w:cs="仿宋"/>
          <w:color w:val="auto"/>
          <w:sz w:val="21"/>
          <w:szCs w:val="21"/>
          <w:highlight w:val="none"/>
        </w:rPr>
        <w:t>：</w:t>
      </w:r>
    </w:p>
    <w:p w14:paraId="2DBFBE3E">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1、提交西安仲裁委员会仲裁；</w:t>
      </w:r>
    </w:p>
    <w:p w14:paraId="6F52E06E">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2、依法向甲方所在地人民法院起诉。</w:t>
      </w:r>
    </w:p>
    <w:p w14:paraId="0B03AE80">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（二）本条款为独立条款，本合同的无效、变更、解除和终止均不影响本条款的效力。</w:t>
      </w:r>
    </w:p>
    <w:p w14:paraId="4F44D394">
      <w:pPr>
        <w:keepNext w:val="0"/>
        <w:keepLines w:val="0"/>
        <w:pageBreakBefore w:val="0"/>
        <w:widowControl w:val="0"/>
        <w:tabs>
          <w:tab w:val="left" w:pos="480"/>
        </w:tabs>
        <w:kinsoku/>
        <w:wordWrap/>
        <w:overflowPunct/>
        <w:topLinePunct w:val="0"/>
        <w:bidi w:val="0"/>
        <w:snapToGrid/>
        <w:spacing w:line="360" w:lineRule="auto"/>
        <w:ind w:firstLine="335" w:firstLineChars="196"/>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十三、合同变更</w:t>
      </w:r>
    </w:p>
    <w:p w14:paraId="7EBE1D03">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在合同的执行期内，双方均不得随意变更或解除合同。如因项目需求情况发生变化，需要项目变更的，应双方协商后签订项目变更协议，（如双方变更事项不能达成一致的，仍按原合同履行，否则视为违约）。</w:t>
      </w:r>
    </w:p>
    <w:p w14:paraId="4632F549">
      <w:pPr>
        <w:keepNext w:val="0"/>
        <w:keepLines w:val="0"/>
        <w:pageBreakBefore w:val="0"/>
        <w:widowControl w:val="0"/>
        <w:tabs>
          <w:tab w:val="left" w:pos="480"/>
        </w:tabs>
        <w:kinsoku/>
        <w:wordWrap/>
        <w:overflowPunct/>
        <w:topLinePunct w:val="0"/>
        <w:bidi w:val="0"/>
        <w:snapToGrid/>
        <w:spacing w:line="360" w:lineRule="auto"/>
        <w:ind w:firstLine="335" w:firstLineChars="196"/>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十四、合同生效</w:t>
      </w:r>
    </w:p>
    <w:p w14:paraId="2AD08728">
      <w:pPr>
        <w:keepNext w:val="0"/>
        <w:keepLines w:val="0"/>
        <w:pageBreakBefore w:val="0"/>
        <w:widowControl w:val="0"/>
        <w:tabs>
          <w:tab w:val="left" w:pos="480"/>
        </w:tabs>
        <w:kinsoku/>
        <w:wordWrap/>
        <w:overflowPunct/>
        <w:topLinePunct w:val="0"/>
        <w:bidi w:val="0"/>
        <w:snapToGrid/>
        <w:spacing w:line="360" w:lineRule="auto"/>
        <w:ind w:firstLine="411" w:firstLineChars="196"/>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本合同一式肆份，甲方持叁份，乙方持壹份，本合同甲、乙</w:t>
      </w:r>
      <w:r>
        <w:rPr>
          <w:rFonts w:hint="eastAsia" w:ascii="仿宋" w:hAnsi="仿宋" w:eastAsia="仿宋" w:cs="仿宋"/>
          <w:color w:val="auto"/>
          <w:sz w:val="21"/>
          <w:szCs w:val="21"/>
          <w:highlight w:val="none"/>
          <w:lang w:eastAsia="zh-CN"/>
        </w:rPr>
        <w:t>双</w:t>
      </w:r>
      <w:r>
        <w:rPr>
          <w:rFonts w:hint="eastAsia" w:ascii="仿宋" w:hAnsi="仿宋" w:eastAsia="仿宋" w:cs="仿宋"/>
          <w:color w:val="auto"/>
          <w:sz w:val="21"/>
          <w:szCs w:val="21"/>
          <w:highlight w:val="none"/>
        </w:rPr>
        <w:t>方签字盖章后生效，合同执行完毕后，自动失效（合同的服务承诺则长期有效）。</w:t>
      </w:r>
    </w:p>
    <w:p w14:paraId="4AEA49E9">
      <w:pPr>
        <w:keepNext w:val="0"/>
        <w:keepLines w:val="0"/>
        <w:pageBreakBefore w:val="0"/>
        <w:widowControl w:val="0"/>
        <w:tabs>
          <w:tab w:val="left" w:pos="480"/>
        </w:tabs>
        <w:kinsoku/>
        <w:wordWrap/>
        <w:overflowPunct/>
        <w:topLinePunct w:val="0"/>
        <w:bidi w:val="0"/>
        <w:snapToGrid/>
        <w:spacing w:line="360" w:lineRule="auto"/>
        <w:ind w:firstLine="335" w:firstLineChars="196"/>
        <w:textAlignment w:val="auto"/>
        <w:rPr>
          <w:rFonts w:hint="eastAsia" w:ascii="仿宋" w:hAnsi="仿宋" w:eastAsia="仿宋" w:cs="仿宋"/>
          <w:color w:val="auto"/>
          <w:sz w:val="21"/>
          <w:szCs w:val="21"/>
          <w:highlight w:val="none"/>
        </w:rPr>
      </w:pPr>
      <w:r>
        <w:rPr>
          <w:rFonts w:hint="eastAsia" w:ascii="仿宋" w:hAnsi="仿宋" w:eastAsia="仿宋" w:cs="仿宋"/>
          <w:b/>
          <w:color w:val="auto"/>
          <w:spacing w:val="-20"/>
          <w:kern w:val="0"/>
          <w:sz w:val="21"/>
          <w:szCs w:val="21"/>
          <w:highlight w:val="none"/>
        </w:rPr>
        <w:t>十五、其他事项</w:t>
      </w:r>
    </w:p>
    <w:p w14:paraId="5C66173A">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一</w:t>
      </w:r>
      <w:r>
        <w:rPr>
          <w:rFonts w:hint="eastAsia" w:ascii="仿宋" w:hAnsi="仿宋" w:eastAsia="仿宋" w:cs="仿宋"/>
          <w:color w:val="auto"/>
          <w:sz w:val="21"/>
          <w:szCs w:val="21"/>
          <w:highlight w:val="none"/>
        </w:rPr>
        <w:t>）西安市财政局政府采购管理处在合同的履行期间以及履行期后，可以随时检查项目的执行情况，对采购标准、采购内容进行调查核实，并对发现的问题进行处理。</w:t>
      </w:r>
    </w:p>
    <w:p w14:paraId="2CD1691F">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二</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eastAsia="zh-CN"/>
        </w:rPr>
        <w:t>磋商文件</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eastAsia="zh-CN"/>
        </w:rPr>
        <w:t>响应文件</w:t>
      </w:r>
      <w:r>
        <w:rPr>
          <w:rFonts w:hint="eastAsia" w:ascii="仿宋" w:hAnsi="仿宋" w:eastAsia="仿宋" w:cs="仿宋"/>
          <w:color w:val="auto"/>
          <w:sz w:val="21"/>
          <w:szCs w:val="21"/>
          <w:highlight w:val="none"/>
        </w:rPr>
        <w:t>、澄清表（函）、</w:t>
      </w:r>
      <w:r>
        <w:rPr>
          <w:rFonts w:hint="eastAsia" w:ascii="仿宋" w:hAnsi="仿宋" w:eastAsia="仿宋" w:cs="仿宋"/>
          <w:color w:val="auto"/>
          <w:sz w:val="21"/>
          <w:szCs w:val="21"/>
          <w:highlight w:val="none"/>
          <w:lang w:eastAsia="zh-CN"/>
        </w:rPr>
        <w:t>成交通知书</w:t>
      </w:r>
      <w:r>
        <w:rPr>
          <w:rFonts w:hint="eastAsia" w:ascii="仿宋" w:hAnsi="仿宋" w:eastAsia="仿宋" w:cs="仿宋"/>
          <w:color w:val="auto"/>
          <w:sz w:val="21"/>
          <w:szCs w:val="21"/>
          <w:highlight w:val="none"/>
        </w:rPr>
        <w:t>、合同附件均成为合同不可分割的部分。</w:t>
      </w:r>
    </w:p>
    <w:p w14:paraId="5F2295F1">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三</w:t>
      </w:r>
      <w:r>
        <w:rPr>
          <w:rFonts w:hint="eastAsia" w:ascii="仿宋" w:hAnsi="仿宋" w:eastAsia="仿宋" w:cs="仿宋"/>
          <w:color w:val="auto"/>
          <w:sz w:val="21"/>
          <w:szCs w:val="21"/>
          <w:highlight w:val="none"/>
        </w:rPr>
        <w:t>）合同未尽事宜，由甲、乙双方协商确认后签订政府采购补充合同，与原合同具有同等法律效力。</w:t>
      </w:r>
    </w:p>
    <w:p w14:paraId="6815F5DE">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p>
    <w:p w14:paraId="7523027D">
      <w:pPr>
        <w:keepNext w:val="0"/>
        <w:keepLines w:val="0"/>
        <w:pageBreakBefore w:val="0"/>
        <w:widowControl w:val="0"/>
        <w:kinsoku/>
        <w:wordWrap/>
        <w:overflowPunct/>
        <w:topLinePunct w:val="0"/>
        <w:bidi w:val="0"/>
        <w:snapToGrid/>
        <w:spacing w:line="360" w:lineRule="auto"/>
        <w:ind w:firstLine="422" w:firstLineChars="200"/>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（最后再次提醒：第二、三、四项内容必须与</w:t>
      </w:r>
      <w:r>
        <w:rPr>
          <w:rFonts w:hint="eastAsia" w:ascii="仿宋" w:hAnsi="仿宋" w:eastAsia="仿宋" w:cs="仿宋"/>
          <w:b/>
          <w:color w:val="auto"/>
          <w:sz w:val="21"/>
          <w:szCs w:val="21"/>
          <w:highlight w:val="none"/>
          <w:lang w:eastAsia="zh-CN"/>
        </w:rPr>
        <w:t>磋商文件</w:t>
      </w:r>
      <w:r>
        <w:rPr>
          <w:rFonts w:hint="eastAsia" w:ascii="仿宋" w:hAnsi="仿宋" w:eastAsia="仿宋" w:cs="仿宋"/>
          <w:b/>
          <w:color w:val="auto"/>
          <w:sz w:val="21"/>
          <w:szCs w:val="21"/>
          <w:highlight w:val="none"/>
        </w:rPr>
        <w:t>对应条款及</w:t>
      </w:r>
      <w:r>
        <w:rPr>
          <w:rFonts w:hint="eastAsia" w:ascii="仿宋" w:hAnsi="仿宋" w:eastAsia="仿宋" w:cs="仿宋"/>
          <w:b/>
          <w:color w:val="auto"/>
          <w:sz w:val="21"/>
          <w:szCs w:val="21"/>
          <w:highlight w:val="none"/>
          <w:lang w:eastAsia="zh-CN"/>
        </w:rPr>
        <w:t>响应文件</w:t>
      </w:r>
      <w:r>
        <w:rPr>
          <w:rFonts w:hint="eastAsia" w:ascii="仿宋" w:hAnsi="仿宋" w:eastAsia="仿宋" w:cs="仿宋"/>
          <w:b/>
          <w:color w:val="auto"/>
          <w:sz w:val="21"/>
          <w:szCs w:val="21"/>
          <w:highlight w:val="none"/>
        </w:rPr>
        <w:t>响应条款一致，第五至第十项优先按照</w:t>
      </w:r>
      <w:r>
        <w:rPr>
          <w:rFonts w:hint="eastAsia" w:ascii="仿宋" w:hAnsi="仿宋" w:eastAsia="仿宋" w:cs="仿宋"/>
          <w:b/>
          <w:color w:val="auto"/>
          <w:sz w:val="21"/>
          <w:szCs w:val="21"/>
          <w:highlight w:val="none"/>
          <w:lang w:eastAsia="zh-CN"/>
        </w:rPr>
        <w:t>磋商文件</w:t>
      </w:r>
      <w:r>
        <w:rPr>
          <w:rFonts w:hint="eastAsia" w:ascii="仿宋" w:hAnsi="仿宋" w:eastAsia="仿宋" w:cs="仿宋"/>
          <w:b/>
          <w:color w:val="auto"/>
          <w:sz w:val="21"/>
          <w:szCs w:val="21"/>
          <w:highlight w:val="none"/>
        </w:rPr>
        <w:t>对应条款拟定，若投标响应内容优于</w:t>
      </w:r>
      <w:r>
        <w:rPr>
          <w:rFonts w:hint="eastAsia" w:ascii="仿宋" w:hAnsi="仿宋" w:eastAsia="仿宋" w:cs="仿宋"/>
          <w:b/>
          <w:color w:val="auto"/>
          <w:sz w:val="21"/>
          <w:szCs w:val="21"/>
          <w:highlight w:val="none"/>
          <w:lang w:eastAsia="zh-CN"/>
        </w:rPr>
        <w:t>磋商文件</w:t>
      </w:r>
      <w:r>
        <w:rPr>
          <w:rFonts w:hint="eastAsia" w:ascii="仿宋" w:hAnsi="仿宋" w:eastAsia="仿宋" w:cs="仿宋"/>
          <w:b/>
          <w:color w:val="auto"/>
          <w:sz w:val="21"/>
          <w:szCs w:val="21"/>
          <w:highlight w:val="none"/>
        </w:rPr>
        <w:t>的按投标内容拟定，同时甲乙双方可协商补充内容，但必须优于</w:t>
      </w:r>
      <w:r>
        <w:rPr>
          <w:rFonts w:hint="eastAsia" w:ascii="仿宋" w:hAnsi="仿宋" w:eastAsia="仿宋" w:cs="仿宋"/>
          <w:b/>
          <w:color w:val="auto"/>
          <w:sz w:val="21"/>
          <w:szCs w:val="21"/>
          <w:highlight w:val="none"/>
          <w:lang w:eastAsia="zh-CN"/>
        </w:rPr>
        <w:t>磋商文件</w:t>
      </w:r>
      <w:r>
        <w:rPr>
          <w:rFonts w:hint="eastAsia" w:ascii="仿宋" w:hAnsi="仿宋" w:eastAsia="仿宋" w:cs="仿宋"/>
          <w:b/>
          <w:color w:val="auto"/>
          <w:sz w:val="21"/>
          <w:szCs w:val="21"/>
          <w:highlight w:val="none"/>
        </w:rPr>
        <w:t>要求和</w:t>
      </w:r>
      <w:r>
        <w:rPr>
          <w:rFonts w:hint="eastAsia" w:ascii="仿宋" w:hAnsi="仿宋" w:eastAsia="仿宋" w:cs="仿宋"/>
          <w:b/>
          <w:color w:val="auto"/>
          <w:sz w:val="21"/>
          <w:szCs w:val="21"/>
          <w:highlight w:val="none"/>
          <w:lang w:eastAsia="zh-CN"/>
        </w:rPr>
        <w:t>响应文件</w:t>
      </w:r>
      <w:r>
        <w:rPr>
          <w:rFonts w:hint="eastAsia" w:ascii="仿宋" w:hAnsi="仿宋" w:eastAsia="仿宋" w:cs="仿宋"/>
          <w:b/>
          <w:color w:val="auto"/>
          <w:sz w:val="21"/>
          <w:szCs w:val="21"/>
          <w:highlight w:val="none"/>
        </w:rPr>
        <w:t>响应内容，第十一至十五项内容在不改变模板内容前提下甲乙双方可协商增加内容，若甲乙双方协商有除上述条款之外的其他条款请插入合理位置，同时注意调整序号。）</w:t>
      </w:r>
    </w:p>
    <w:p w14:paraId="14E8008D">
      <w:pPr>
        <w:keepNext w:val="0"/>
        <w:keepLines w:val="0"/>
        <w:pageBreakBefore w:val="0"/>
        <w:widowControl w:val="0"/>
        <w:tabs>
          <w:tab w:val="left" w:pos="480"/>
        </w:tabs>
        <w:kinsoku/>
        <w:wordWrap/>
        <w:overflowPunct/>
        <w:topLinePunct w:val="0"/>
        <w:bidi w:val="0"/>
        <w:snapToGrid/>
        <w:spacing w:line="360" w:lineRule="auto"/>
        <w:ind w:firstLine="340" w:firstLineChars="200"/>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br w:type="page"/>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4"/>
        <w:gridCol w:w="3774"/>
      </w:tblGrid>
      <w:tr w14:paraId="284B4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4" w:type="dxa"/>
            <w:tcBorders>
              <w:top w:val="single" w:color="auto" w:sz="4" w:space="0"/>
              <w:left w:val="single" w:color="auto" w:sz="4" w:space="0"/>
              <w:bottom w:val="single" w:color="auto" w:sz="4" w:space="0"/>
              <w:right w:val="single" w:color="auto" w:sz="4" w:space="0"/>
            </w:tcBorders>
          </w:tcPr>
          <w:p w14:paraId="694994F5">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甲  方</w:t>
            </w:r>
          </w:p>
        </w:tc>
        <w:tc>
          <w:tcPr>
            <w:tcW w:w="3774" w:type="dxa"/>
            <w:tcBorders>
              <w:top w:val="single" w:color="auto" w:sz="4" w:space="0"/>
              <w:left w:val="single" w:color="auto" w:sz="4" w:space="0"/>
              <w:bottom w:val="single" w:color="auto" w:sz="4" w:space="0"/>
              <w:right w:val="single" w:color="auto" w:sz="4" w:space="0"/>
            </w:tcBorders>
          </w:tcPr>
          <w:p w14:paraId="1D7A4390">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乙  方</w:t>
            </w:r>
          </w:p>
        </w:tc>
      </w:tr>
      <w:tr w14:paraId="274B6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4" w:type="dxa"/>
            <w:tcBorders>
              <w:top w:val="single" w:color="auto" w:sz="4" w:space="0"/>
              <w:left w:val="single" w:color="auto" w:sz="4" w:space="0"/>
              <w:bottom w:val="single" w:color="auto" w:sz="4" w:space="0"/>
              <w:right w:val="single" w:color="auto" w:sz="4" w:space="0"/>
            </w:tcBorders>
            <w:vAlign w:val="center"/>
          </w:tcPr>
          <w:p w14:paraId="1647A08C">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采购人名称</w:t>
            </w:r>
          </w:p>
          <w:p w14:paraId="5602C9F3">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（请填写具体名称）</w:t>
            </w:r>
          </w:p>
          <w:p w14:paraId="12258143">
            <w:pPr>
              <w:keepNext w:val="0"/>
              <w:keepLines w:val="0"/>
              <w:pageBreakBefore w:val="0"/>
              <w:widowControl w:val="0"/>
              <w:kinsoku/>
              <w:wordWrap/>
              <w:overflowPunct/>
              <w:topLinePunct w:val="0"/>
              <w:autoSpaceDE w:val="0"/>
              <w:autoSpaceDN w:val="0"/>
              <w:bidi w:val="0"/>
              <w:adjustRightInd w:val="0"/>
              <w:snapToGrid/>
              <w:spacing w:line="360" w:lineRule="auto"/>
              <w:ind w:firstLine="595" w:firstLineChars="350"/>
              <w:jc w:val="left"/>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（盖章）</w:t>
            </w:r>
          </w:p>
        </w:tc>
        <w:tc>
          <w:tcPr>
            <w:tcW w:w="3774" w:type="dxa"/>
            <w:tcBorders>
              <w:top w:val="single" w:color="auto" w:sz="4" w:space="0"/>
              <w:left w:val="single" w:color="auto" w:sz="4" w:space="0"/>
              <w:bottom w:val="single" w:color="auto" w:sz="4" w:space="0"/>
              <w:right w:val="single" w:color="auto" w:sz="4" w:space="0"/>
            </w:tcBorders>
            <w:vAlign w:val="center"/>
          </w:tcPr>
          <w:p w14:paraId="6F0D84A5">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成交供应商全称</w:t>
            </w:r>
          </w:p>
          <w:p w14:paraId="4478458D">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（请填写具体名称）</w:t>
            </w:r>
          </w:p>
          <w:p w14:paraId="738D1CA3">
            <w:pPr>
              <w:keepNext w:val="0"/>
              <w:keepLines w:val="0"/>
              <w:pageBreakBefore w:val="0"/>
              <w:widowControl w:val="0"/>
              <w:kinsoku/>
              <w:wordWrap/>
              <w:overflowPunct/>
              <w:topLinePunct w:val="0"/>
              <w:autoSpaceDE w:val="0"/>
              <w:autoSpaceDN w:val="0"/>
              <w:bidi w:val="0"/>
              <w:adjustRightInd w:val="0"/>
              <w:snapToGrid/>
              <w:spacing w:line="360" w:lineRule="auto"/>
              <w:ind w:firstLine="680" w:firstLineChars="400"/>
              <w:jc w:val="left"/>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（盖章）</w:t>
            </w:r>
          </w:p>
        </w:tc>
      </w:tr>
      <w:tr w14:paraId="1A991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4" w:type="dxa"/>
            <w:tcBorders>
              <w:top w:val="single" w:color="auto" w:sz="4" w:space="0"/>
              <w:left w:val="single" w:color="auto" w:sz="4" w:space="0"/>
              <w:bottom w:val="single" w:color="auto" w:sz="4" w:space="0"/>
              <w:right w:val="single" w:color="auto" w:sz="4" w:space="0"/>
            </w:tcBorders>
          </w:tcPr>
          <w:p w14:paraId="498C92D2">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 xml:space="preserve">地址： </w:t>
            </w:r>
          </w:p>
        </w:tc>
        <w:tc>
          <w:tcPr>
            <w:tcW w:w="3774" w:type="dxa"/>
            <w:tcBorders>
              <w:top w:val="single" w:color="auto" w:sz="4" w:space="0"/>
              <w:left w:val="single" w:color="auto" w:sz="4" w:space="0"/>
              <w:bottom w:val="single" w:color="auto" w:sz="4" w:space="0"/>
              <w:right w:val="single" w:color="auto" w:sz="4" w:space="0"/>
            </w:tcBorders>
          </w:tcPr>
          <w:p w14:paraId="72F61A9F">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地址：</w:t>
            </w:r>
          </w:p>
        </w:tc>
      </w:tr>
      <w:tr w14:paraId="648E4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4" w:type="dxa"/>
            <w:tcBorders>
              <w:top w:val="single" w:color="auto" w:sz="4" w:space="0"/>
              <w:left w:val="single" w:color="auto" w:sz="4" w:space="0"/>
              <w:bottom w:val="single" w:color="auto" w:sz="4" w:space="0"/>
              <w:right w:val="single" w:color="auto" w:sz="4" w:space="0"/>
            </w:tcBorders>
          </w:tcPr>
          <w:p w14:paraId="1C820DBB">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邮编：</w:t>
            </w:r>
          </w:p>
        </w:tc>
        <w:tc>
          <w:tcPr>
            <w:tcW w:w="3774" w:type="dxa"/>
            <w:tcBorders>
              <w:top w:val="single" w:color="auto" w:sz="4" w:space="0"/>
              <w:left w:val="single" w:color="auto" w:sz="4" w:space="0"/>
              <w:bottom w:val="single" w:color="auto" w:sz="4" w:space="0"/>
              <w:right w:val="single" w:color="auto" w:sz="4" w:space="0"/>
            </w:tcBorders>
          </w:tcPr>
          <w:p w14:paraId="361F7828">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邮编：</w:t>
            </w:r>
          </w:p>
        </w:tc>
      </w:tr>
      <w:tr w14:paraId="0C80F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4" w:type="dxa"/>
            <w:tcBorders>
              <w:top w:val="single" w:color="auto" w:sz="4" w:space="0"/>
              <w:left w:val="single" w:color="auto" w:sz="4" w:space="0"/>
              <w:bottom w:val="single" w:color="auto" w:sz="4" w:space="0"/>
              <w:right w:val="single" w:color="auto" w:sz="4" w:space="0"/>
            </w:tcBorders>
          </w:tcPr>
          <w:p w14:paraId="23FBE04B">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 xml:space="preserve">法定代表人： </w:t>
            </w:r>
          </w:p>
        </w:tc>
        <w:tc>
          <w:tcPr>
            <w:tcW w:w="3774" w:type="dxa"/>
            <w:tcBorders>
              <w:top w:val="single" w:color="auto" w:sz="4" w:space="0"/>
              <w:left w:val="single" w:color="auto" w:sz="4" w:space="0"/>
              <w:bottom w:val="single" w:color="auto" w:sz="4" w:space="0"/>
              <w:right w:val="single" w:color="auto" w:sz="4" w:space="0"/>
            </w:tcBorders>
          </w:tcPr>
          <w:p w14:paraId="05BE5A78">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法定代表人：</w:t>
            </w:r>
          </w:p>
        </w:tc>
      </w:tr>
      <w:tr w14:paraId="5B0C7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4" w:type="dxa"/>
            <w:tcBorders>
              <w:top w:val="single" w:color="auto" w:sz="4" w:space="0"/>
              <w:left w:val="single" w:color="auto" w:sz="4" w:space="0"/>
              <w:bottom w:val="single" w:color="auto" w:sz="4" w:space="0"/>
              <w:right w:val="single" w:color="auto" w:sz="4" w:space="0"/>
            </w:tcBorders>
          </w:tcPr>
          <w:p w14:paraId="7B8DFDF2">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被授权代表：（签字）</w:t>
            </w:r>
          </w:p>
        </w:tc>
        <w:tc>
          <w:tcPr>
            <w:tcW w:w="3774" w:type="dxa"/>
            <w:tcBorders>
              <w:top w:val="single" w:color="auto" w:sz="4" w:space="0"/>
              <w:left w:val="single" w:color="auto" w:sz="4" w:space="0"/>
              <w:bottom w:val="single" w:color="auto" w:sz="4" w:space="0"/>
              <w:right w:val="single" w:color="auto" w:sz="4" w:space="0"/>
            </w:tcBorders>
          </w:tcPr>
          <w:p w14:paraId="3EF63181">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被授权代表：（签字）</w:t>
            </w:r>
          </w:p>
        </w:tc>
      </w:tr>
      <w:tr w14:paraId="18D43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4" w:type="dxa"/>
            <w:tcBorders>
              <w:top w:val="single" w:color="auto" w:sz="4" w:space="0"/>
              <w:left w:val="single" w:color="auto" w:sz="4" w:space="0"/>
              <w:bottom w:val="single" w:color="auto" w:sz="4" w:space="0"/>
              <w:right w:val="single" w:color="auto" w:sz="4" w:space="0"/>
            </w:tcBorders>
          </w:tcPr>
          <w:p w14:paraId="594B6CED">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电话：</w:t>
            </w:r>
          </w:p>
        </w:tc>
        <w:tc>
          <w:tcPr>
            <w:tcW w:w="3774" w:type="dxa"/>
            <w:tcBorders>
              <w:top w:val="single" w:color="auto" w:sz="4" w:space="0"/>
              <w:left w:val="single" w:color="auto" w:sz="4" w:space="0"/>
              <w:bottom w:val="single" w:color="auto" w:sz="4" w:space="0"/>
              <w:right w:val="single" w:color="auto" w:sz="4" w:space="0"/>
            </w:tcBorders>
          </w:tcPr>
          <w:p w14:paraId="6CAE22B2">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电话：</w:t>
            </w:r>
          </w:p>
        </w:tc>
      </w:tr>
      <w:tr w14:paraId="4BCFF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4" w:type="dxa"/>
            <w:tcBorders>
              <w:top w:val="single" w:color="auto" w:sz="4" w:space="0"/>
              <w:left w:val="single" w:color="auto" w:sz="4" w:space="0"/>
              <w:bottom w:val="single" w:color="auto" w:sz="4" w:space="0"/>
              <w:right w:val="single" w:color="auto" w:sz="4" w:space="0"/>
            </w:tcBorders>
          </w:tcPr>
          <w:p w14:paraId="41E713FA">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传真：</w:t>
            </w:r>
          </w:p>
        </w:tc>
        <w:tc>
          <w:tcPr>
            <w:tcW w:w="3774" w:type="dxa"/>
            <w:tcBorders>
              <w:top w:val="single" w:color="auto" w:sz="4" w:space="0"/>
              <w:left w:val="single" w:color="auto" w:sz="4" w:space="0"/>
              <w:bottom w:val="single" w:color="auto" w:sz="4" w:space="0"/>
              <w:right w:val="single" w:color="auto" w:sz="4" w:space="0"/>
            </w:tcBorders>
          </w:tcPr>
          <w:p w14:paraId="3C1FCB74">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传真：</w:t>
            </w:r>
          </w:p>
        </w:tc>
      </w:tr>
      <w:tr w14:paraId="4C32B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4" w:type="dxa"/>
            <w:tcBorders>
              <w:top w:val="single" w:color="auto" w:sz="4" w:space="0"/>
              <w:left w:val="single" w:color="auto" w:sz="4" w:space="0"/>
              <w:bottom w:val="single" w:color="auto" w:sz="4" w:space="0"/>
              <w:right w:val="single" w:color="auto" w:sz="4" w:space="0"/>
            </w:tcBorders>
          </w:tcPr>
          <w:p w14:paraId="6D2486C1">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仿宋" w:hAnsi="仿宋" w:eastAsia="仿宋" w:cs="仿宋"/>
                <w:color w:val="auto"/>
                <w:spacing w:val="-20"/>
                <w:kern w:val="0"/>
                <w:sz w:val="21"/>
                <w:szCs w:val="21"/>
                <w:highlight w:val="none"/>
              </w:rPr>
            </w:pPr>
          </w:p>
        </w:tc>
        <w:tc>
          <w:tcPr>
            <w:tcW w:w="3774" w:type="dxa"/>
            <w:tcBorders>
              <w:top w:val="single" w:color="auto" w:sz="4" w:space="0"/>
              <w:left w:val="single" w:color="auto" w:sz="4" w:space="0"/>
              <w:bottom w:val="single" w:color="auto" w:sz="4" w:space="0"/>
              <w:right w:val="single" w:color="auto" w:sz="4" w:space="0"/>
            </w:tcBorders>
          </w:tcPr>
          <w:p w14:paraId="75AD1508">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开户银行：</w:t>
            </w:r>
          </w:p>
        </w:tc>
      </w:tr>
      <w:tr w14:paraId="3C1B3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4" w:type="dxa"/>
            <w:tcBorders>
              <w:top w:val="single" w:color="auto" w:sz="4" w:space="0"/>
              <w:left w:val="single" w:color="auto" w:sz="4" w:space="0"/>
              <w:bottom w:val="single" w:color="auto" w:sz="4" w:space="0"/>
              <w:right w:val="single" w:color="auto" w:sz="4" w:space="0"/>
            </w:tcBorders>
          </w:tcPr>
          <w:p w14:paraId="2AA3481F">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仿宋" w:hAnsi="仿宋" w:eastAsia="仿宋" w:cs="仿宋"/>
                <w:color w:val="auto"/>
                <w:spacing w:val="-20"/>
                <w:kern w:val="0"/>
                <w:sz w:val="21"/>
                <w:szCs w:val="21"/>
                <w:highlight w:val="none"/>
              </w:rPr>
            </w:pPr>
          </w:p>
        </w:tc>
        <w:tc>
          <w:tcPr>
            <w:tcW w:w="3774" w:type="dxa"/>
            <w:tcBorders>
              <w:top w:val="single" w:color="auto" w:sz="4" w:space="0"/>
              <w:left w:val="single" w:color="auto" w:sz="4" w:space="0"/>
              <w:bottom w:val="single" w:color="auto" w:sz="4" w:space="0"/>
              <w:right w:val="single" w:color="auto" w:sz="4" w:space="0"/>
            </w:tcBorders>
          </w:tcPr>
          <w:p w14:paraId="7F70B8AE">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帐号：</w:t>
            </w:r>
          </w:p>
        </w:tc>
      </w:tr>
      <w:tr w14:paraId="30AB9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4" w:type="dxa"/>
            <w:tcBorders>
              <w:top w:val="single" w:color="auto" w:sz="4" w:space="0"/>
              <w:left w:val="single" w:color="auto" w:sz="4" w:space="0"/>
              <w:bottom w:val="single" w:color="auto" w:sz="4" w:space="0"/>
              <w:right w:val="single" w:color="auto" w:sz="4" w:space="0"/>
            </w:tcBorders>
          </w:tcPr>
          <w:p w14:paraId="3CC59AC4">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日期：   年   月   日</w:t>
            </w:r>
          </w:p>
        </w:tc>
        <w:tc>
          <w:tcPr>
            <w:tcW w:w="3774" w:type="dxa"/>
            <w:tcBorders>
              <w:top w:val="single" w:color="auto" w:sz="4" w:space="0"/>
              <w:left w:val="single" w:color="auto" w:sz="4" w:space="0"/>
              <w:bottom w:val="single" w:color="auto" w:sz="4" w:space="0"/>
              <w:right w:val="single" w:color="auto" w:sz="4" w:space="0"/>
            </w:tcBorders>
          </w:tcPr>
          <w:p w14:paraId="57039A24">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日期：   年   月   日</w:t>
            </w:r>
          </w:p>
        </w:tc>
      </w:tr>
    </w:tbl>
    <w:p w14:paraId="6D31BFD6">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color w:val="auto"/>
          <w:sz w:val="21"/>
          <w:szCs w:val="21"/>
          <w:highlight w:val="none"/>
        </w:rPr>
      </w:pPr>
    </w:p>
    <w:p w14:paraId="512AAAAF">
      <w:pPr>
        <w:pStyle w:val="6"/>
        <w:rPr>
          <w:rFonts w:hint="eastAsia" w:ascii="仿宋" w:hAnsi="仿宋" w:eastAsia="仿宋" w:cs="仿宋"/>
          <w:color w:val="auto"/>
          <w:highlight w:val="none"/>
          <w:lang w:val="en-US" w:eastAsia="zh-Hans"/>
        </w:rPr>
      </w:pPr>
    </w:p>
    <w:p w14:paraId="7DB2CD3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2688BE"/>
    <w:multiLevelType w:val="singleLevel"/>
    <w:tmpl w:val="B02688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000C8"/>
    <w:rsid w:val="23111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本文正文 Char1 Char Char Char Char Char Char Char Char Char Char Char Char Char Char Char Char Char Char Char Char Char Char Char Char Char Char"/>
    <w:link w:val="5"/>
    <w:qFormat/>
    <w:uiPriority w:val="0"/>
    <w:rPr>
      <w:rFonts w:ascii="宋体" w:hAnsi="宋体" w:eastAsiaTheme="minorEastAsia" w:cstheme="minorBidi"/>
      <w:kern w:val="0"/>
      <w:sz w:val="24"/>
      <w:szCs w:val="24"/>
    </w:rPr>
  </w:style>
  <w:style w:type="paragraph" w:customStyle="1" w:styleId="5">
    <w:name w:val="本文正文 Char1 Char Char Char Char Char Char Char Char Char Char Char Char Char Char Char Char Char Char Char Char Char Char Char Char"/>
    <w:basedOn w:val="1"/>
    <w:link w:val="4"/>
    <w:qFormat/>
    <w:uiPriority w:val="0"/>
    <w:pPr>
      <w:spacing w:line="480" w:lineRule="exact"/>
      <w:ind w:firstLine="200" w:firstLineChars="200"/>
      <w:jc w:val="left"/>
    </w:pPr>
    <w:rPr>
      <w:rFonts w:ascii="宋体" w:hAnsi="宋体" w:eastAsiaTheme="minorEastAsia" w:cstheme="minorBidi"/>
      <w:kern w:val="0"/>
      <w:sz w:val="24"/>
      <w:szCs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4165</Words>
  <Characters>4207</Characters>
  <Lines>0</Lines>
  <Paragraphs>0</Paragraphs>
  <TotalTime>0</TotalTime>
  <ScaleCrop>false</ScaleCrop>
  <LinksUpToDate>false</LinksUpToDate>
  <CharactersWithSpaces>4285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2025-06-09T09:18:00Z</dcterms:created>
  <dc:creator>acer</dc:creator>
  <cp:lastModifiedBy>李庆茹</cp:lastModifiedBy>
  <dcterms:modified xsi:type="dcterms:W3CDTF">2025-06-10T00:54:26Z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eyJoZGlkIjoiYzVjMGE1YjBiYmQyNmEzYWYxNjg5ZWI1ZDc2MGE4YWUiLCJ1c2VySWQiOiIyNTI5NDE4MzIifQ==</vt:lpwstr>
  </property>
  <property fmtid="{D5CDD505-2E9C-101B-9397-08002B2CF9AE}" pid="4" name="ICV">
    <vt:lpwstr>8D6D0E11154548929AF0AA9AC0AEEE59_13</vt:lpwstr>
  </property>
</Properties>
</file>