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版本号：SXWZ2025ZB-SXCB-13520250609001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西安文明网建设运营项目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SXWZ2025ZB-SXCB-135</w:t>
      </w:r>
      <w:r>
        <w:br/>
      </w:r>
      <w:r>
        <w:br/>
      </w:r>
      <w:r>
        <w:br/>
      </w:r>
    </w:p>
    <w:p>
      <w:pPr>
        <w:pStyle w:val="null3"/>
        <w:jc w:val="center"/>
        <w:outlineLvl w:val="2"/>
      </w:pPr>
      <w:r>
        <w:rPr>
          <w:rFonts w:ascii="仿宋_GB2312" w:hAnsi="仿宋_GB2312" w:cs="仿宋_GB2312" w:eastAsia="仿宋_GB2312"/>
          <w:sz w:val="28"/>
          <w:b/>
        </w:rPr>
        <w:t>中共西安市委宣传部（本级）</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中共西安市委宣传部（本级）</w:t>
      </w:r>
      <w:r>
        <w:rPr>
          <w:rFonts w:ascii="仿宋_GB2312" w:hAnsi="仿宋_GB2312" w:cs="仿宋_GB2312" w:eastAsia="仿宋_GB2312"/>
        </w:rPr>
        <w:t>委托，拟对</w:t>
      </w:r>
      <w:r>
        <w:rPr>
          <w:rFonts w:ascii="仿宋_GB2312" w:hAnsi="仿宋_GB2312" w:cs="仿宋_GB2312" w:eastAsia="仿宋_GB2312"/>
        </w:rPr>
        <w:t>西安文明网建设运营项目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SXWZ2025ZB-SXCB-135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西安文明网建设运营项目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西安文明网建设运营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社会保障资金缴纳证明：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3、税收缴纳证明：供应商提供本单位2025年1月至今已缴纳的至少一个月纳税证明或完税证明，依法免税的单位应提供相关证明材料；（以税款所属日期为准）</w:t>
      </w:r>
    </w:p>
    <w:p>
      <w:pPr>
        <w:pStyle w:val="null3"/>
      </w:pPr>
      <w:r>
        <w:rPr>
          <w:rFonts w:ascii="仿宋_GB2312" w:hAnsi="仿宋_GB2312" w:cs="仿宋_GB2312" w:eastAsia="仿宋_GB2312"/>
        </w:rPr>
        <w:t>4、财务状况证明：提供本单位经会计师事务所审计的2023年或2024年任意一年的财务审计报告(报告须带有二维码可验证)或在开标日期前六个月内其基本开户银行出具的资信证明；</w:t>
      </w:r>
    </w:p>
    <w:p>
      <w:pPr>
        <w:pStyle w:val="null3"/>
      </w:pPr>
      <w:r>
        <w:rPr>
          <w:rFonts w:ascii="仿宋_GB2312" w:hAnsi="仿宋_GB2312" w:cs="仿宋_GB2312" w:eastAsia="仿宋_GB2312"/>
        </w:rPr>
        <w:t>5、书面声明：供应商应出具参加本次政府采购活动前3年内在经营活动中没有重大违法违纪，以及未被列入失信被执行人、重大税收违法案件当事人名单、政府采购严重违法失信行为记录名单的书面声明；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6、授权书：非法定代表人参加投标，须提供法定代表人授权委托书及被授权人身份证；法定代表人参加投标时,须提供法定代表人身份证；</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中共西安市委宣传部（本级）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029-86780722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西安市高新区唐延路旺座现代城 C 座 25 楼 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张刘艳 张航波 郝思思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029-88319689-8006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中共西安市委宣传部（本级）</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中共西安市委宣传部（本级）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中共西安市委宣传部（本级）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项目验收需提供全年运维情况报告，经市委文明办实地（线上）考察验收，提交（不仅限于）项目结案、宣传链接、截图、视频、照片等相关资料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联系人：张刘艳 张航波 郝思思</w:t>
      </w:r>
    </w:p>
    <w:p>
      <w:pPr>
        <w:pStyle w:val="null3"/>
      </w:pPr>
      <w:r>
        <w:rPr>
          <w:rFonts w:ascii="仿宋_GB2312" w:hAnsi="仿宋_GB2312" w:cs="仿宋_GB2312" w:eastAsia="仿宋_GB2312"/>
        </w:rPr>
        <w:t>联系电话：029-88319689-8006</w:t>
      </w:r>
    </w:p>
    <w:p>
      <w:pPr>
        <w:pStyle w:val="null3"/>
      </w:pPr>
      <w:r>
        <w:rPr>
          <w:rFonts w:ascii="仿宋_GB2312" w:hAnsi="仿宋_GB2312" w:cs="仿宋_GB2312" w:eastAsia="仿宋_GB2312"/>
        </w:rPr>
        <w:t>地址：西安市高新区唐延路旺座现代城 C 座 25 楼 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西安文明网建设运营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513,000.00</w:t>
      </w:r>
    </w:p>
    <w:p>
      <w:pPr>
        <w:pStyle w:val="null3"/>
      </w:pPr>
      <w:r>
        <w:rPr>
          <w:rFonts w:ascii="仿宋_GB2312" w:hAnsi="仿宋_GB2312" w:cs="仿宋_GB2312" w:eastAsia="仿宋_GB2312"/>
        </w:rPr>
        <w:t>采购包最高限价（元）: 513,000.00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乙方应向甲方提供以下（包含但不限于）服务：承担“西安文明网”网站及“文明西安”系列号端的内容维护管理，包括平台建设、页面编辑与更新、维护、日常管理、培训等工作。 3.2主要功能或目标：发布呈现西安精神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513,000.00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标的名称：乙方应向甲方提供以下（包含但不限于）服务：承担“西安文明网”网站及“文明西安”系列号端的内容维护管理，包括平台建设、页面编辑与更新、维护、日常管理、培训等工作。 3.2主要功能或目标：发布呈现西安精神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ind w:firstLine="400"/>
              <w:jc w:val="both"/>
            </w:pPr>
            <w:r>
              <w:rPr>
                <w:rFonts w:ascii="仿宋_GB2312" w:hAnsi="仿宋_GB2312" w:cs="仿宋_GB2312" w:eastAsia="仿宋_GB2312"/>
              </w:rPr>
              <w:t>发布呈现西安精神文明建设的工作成果和亮点；根据中国文明网报道提示的要求和西安市精神文明建设宣传工作的需要，组织主题策划与内容推送；按照中国文明网、陕西文明网有关工作要求，完成相关宣传报道和资料填报任务。</w:t>
            </w:r>
          </w:p>
          <w:p>
            <w:pPr>
              <w:pStyle w:val="null3"/>
              <w:jc w:val="both"/>
            </w:pPr>
            <w:r>
              <w:rPr>
                <w:rFonts w:ascii="仿宋_GB2312" w:hAnsi="仿宋_GB2312" w:cs="仿宋_GB2312" w:eastAsia="仿宋_GB2312"/>
              </w:rPr>
              <w:t>二、</w:t>
            </w:r>
            <w:r>
              <w:rPr>
                <w:rFonts w:ascii="仿宋_GB2312" w:hAnsi="仿宋_GB2312" w:cs="仿宋_GB2312" w:eastAsia="仿宋_GB2312"/>
              </w:rPr>
              <w:t>服务内容</w:t>
            </w:r>
          </w:p>
          <w:p>
            <w:pPr>
              <w:pStyle w:val="null3"/>
              <w:ind w:firstLine="400"/>
              <w:jc w:val="both"/>
            </w:pPr>
            <w:r>
              <w:rPr>
                <w:rFonts w:ascii="仿宋_GB2312" w:hAnsi="仿宋_GB2312" w:cs="仿宋_GB2312" w:eastAsia="仿宋_GB2312"/>
              </w:rPr>
              <w:t>乙方应向甲方提供以下（包含但不限于）服务：</w:t>
            </w:r>
            <w:r>
              <w:rPr>
                <w:rFonts w:ascii="仿宋_GB2312" w:hAnsi="仿宋_GB2312" w:cs="仿宋_GB2312" w:eastAsia="仿宋_GB2312"/>
              </w:rPr>
              <w:t>承担</w:t>
            </w:r>
            <w:r>
              <w:rPr>
                <w:rFonts w:ascii="仿宋_GB2312" w:hAnsi="仿宋_GB2312" w:cs="仿宋_GB2312" w:eastAsia="仿宋_GB2312"/>
              </w:rPr>
              <w:t>“西安文明网”网站</w:t>
            </w:r>
            <w:r>
              <w:rPr>
                <w:rFonts w:ascii="仿宋_GB2312" w:hAnsi="仿宋_GB2312" w:cs="仿宋_GB2312" w:eastAsia="仿宋_GB2312"/>
              </w:rPr>
              <w:t>及</w:t>
            </w:r>
            <w:r>
              <w:rPr>
                <w:rFonts w:ascii="仿宋_GB2312" w:hAnsi="仿宋_GB2312" w:cs="仿宋_GB2312" w:eastAsia="仿宋_GB2312"/>
              </w:rPr>
              <w:t>“文明西安”系列号端</w:t>
            </w:r>
            <w:r>
              <w:rPr>
                <w:rFonts w:ascii="仿宋_GB2312" w:hAnsi="仿宋_GB2312" w:cs="仿宋_GB2312" w:eastAsia="仿宋_GB2312"/>
              </w:rPr>
              <w:t>的内容维护管理，包括平台建设、页面编辑与更新、维护、日常管理、培训等工作。</w:t>
            </w:r>
          </w:p>
          <w:p>
            <w:pPr>
              <w:pStyle w:val="null3"/>
              <w:jc w:val="both"/>
            </w:pPr>
            <w:r>
              <w:rPr>
                <w:rFonts w:ascii="仿宋_GB2312" w:hAnsi="仿宋_GB2312" w:cs="仿宋_GB2312" w:eastAsia="仿宋_GB2312"/>
              </w:rPr>
              <w:t>三、服务要求</w:t>
            </w:r>
          </w:p>
          <w:p>
            <w:pPr>
              <w:pStyle w:val="null3"/>
              <w:ind w:firstLine="400"/>
              <w:jc w:val="both"/>
            </w:pPr>
            <w:r>
              <w:rPr>
                <w:rFonts w:ascii="仿宋_GB2312" w:hAnsi="仿宋_GB2312" w:cs="仿宋_GB2312" w:eastAsia="仿宋_GB2312"/>
              </w:rPr>
              <w:t>运营经验丰富的具备新闻媒体资质的专业团队</w:t>
            </w:r>
            <w:r>
              <w:rPr>
                <w:rFonts w:ascii="仿宋_GB2312" w:hAnsi="仿宋_GB2312" w:cs="仿宋_GB2312" w:eastAsia="仿宋_GB2312"/>
              </w:rPr>
              <w:t>，</w:t>
            </w:r>
            <w:r>
              <w:rPr>
                <w:rFonts w:ascii="仿宋_GB2312" w:hAnsi="仿宋_GB2312" w:cs="仿宋_GB2312" w:eastAsia="仿宋_GB2312"/>
              </w:rPr>
              <w:t>能够为甲方（中共西安市委宣传部）提供</w:t>
            </w:r>
            <w:r>
              <w:rPr>
                <w:rFonts w:ascii="仿宋_GB2312" w:hAnsi="仿宋_GB2312" w:cs="仿宋_GB2312" w:eastAsia="仿宋_GB2312"/>
              </w:rPr>
              <w:t>新闻采编</w:t>
            </w:r>
            <w:r>
              <w:rPr>
                <w:rFonts w:ascii="仿宋_GB2312" w:hAnsi="仿宋_GB2312" w:cs="仿宋_GB2312" w:eastAsia="仿宋_GB2312"/>
              </w:rPr>
              <w:t>、</w:t>
            </w:r>
            <w:r>
              <w:rPr>
                <w:rFonts w:ascii="仿宋_GB2312" w:hAnsi="仿宋_GB2312" w:cs="仿宋_GB2312" w:eastAsia="仿宋_GB2312"/>
              </w:rPr>
              <w:t>内容制作服务</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1.</w:t>
            </w:r>
            <w:r>
              <w:rPr>
                <w:rFonts w:ascii="仿宋_GB2312" w:hAnsi="仿宋_GB2312" w:cs="仿宋_GB2312" w:eastAsia="仿宋_GB2312"/>
              </w:rPr>
              <w:t>三年以上相关工作经验，具有相关职称证书；</w:t>
            </w:r>
          </w:p>
          <w:p>
            <w:pPr>
              <w:pStyle w:val="null3"/>
              <w:ind w:firstLine="400"/>
              <w:jc w:val="both"/>
            </w:pPr>
            <w:r>
              <w:rPr>
                <w:rFonts w:ascii="仿宋_GB2312" w:hAnsi="仿宋_GB2312" w:cs="仿宋_GB2312" w:eastAsia="仿宋_GB2312"/>
              </w:rPr>
              <w:t>2.</w:t>
            </w:r>
            <w:r>
              <w:rPr>
                <w:rFonts w:ascii="仿宋_GB2312" w:hAnsi="仿宋_GB2312" w:cs="仿宋_GB2312" w:eastAsia="仿宋_GB2312"/>
              </w:rPr>
              <w:t>围绕西安市精神文明建设工作开展网络文明传播活动，</w:t>
            </w:r>
            <w:r>
              <w:rPr>
                <w:rFonts w:ascii="仿宋_GB2312" w:hAnsi="仿宋_GB2312" w:cs="仿宋_GB2312" w:eastAsia="仿宋_GB2312"/>
              </w:rPr>
              <w:t>完成中央</w:t>
            </w:r>
            <w:r>
              <w:rPr>
                <w:rFonts w:ascii="仿宋_GB2312" w:hAnsi="仿宋_GB2312" w:cs="仿宋_GB2312" w:eastAsia="仿宋_GB2312"/>
              </w:rPr>
              <w:t>、</w:t>
            </w:r>
            <w:r>
              <w:rPr>
                <w:rFonts w:ascii="仿宋_GB2312" w:hAnsi="仿宋_GB2312" w:cs="仿宋_GB2312" w:eastAsia="仿宋_GB2312"/>
              </w:rPr>
              <w:t>省</w:t>
            </w:r>
            <w:r>
              <w:rPr>
                <w:rFonts w:ascii="仿宋_GB2312" w:hAnsi="仿宋_GB2312" w:cs="仿宋_GB2312" w:eastAsia="仿宋_GB2312"/>
              </w:rPr>
              <w:t>、</w:t>
            </w:r>
            <w:r>
              <w:rPr>
                <w:rFonts w:ascii="仿宋_GB2312" w:hAnsi="仿宋_GB2312" w:cs="仿宋_GB2312" w:eastAsia="仿宋_GB2312"/>
              </w:rPr>
              <w:t>市</w:t>
            </w:r>
            <w:r>
              <w:rPr>
                <w:rFonts w:ascii="仿宋_GB2312" w:hAnsi="仿宋_GB2312" w:cs="仿宋_GB2312" w:eastAsia="仿宋_GB2312"/>
              </w:rPr>
              <w:t>精神文明建设工作宣传报道任务</w:t>
            </w:r>
            <w:r>
              <w:rPr>
                <w:rFonts w:ascii="仿宋_GB2312" w:hAnsi="仿宋_GB2312" w:cs="仿宋_GB2312" w:eastAsia="仿宋_GB2312"/>
              </w:rPr>
              <w:t>；</w:t>
            </w:r>
          </w:p>
          <w:p>
            <w:pPr>
              <w:pStyle w:val="null3"/>
              <w:jc w:val="both"/>
            </w:pPr>
            <w:r>
              <w:rPr>
                <w:rFonts w:ascii="仿宋_GB2312" w:hAnsi="仿宋_GB2312" w:cs="仿宋_GB2312" w:eastAsia="仿宋_GB2312"/>
                <w:sz w:val="21"/>
              </w:rPr>
              <w:t xml:space="preserve">      3.完成</w:t>
            </w:r>
            <w:r>
              <w:rPr>
                <w:rFonts w:ascii="仿宋_GB2312" w:hAnsi="仿宋_GB2312" w:cs="仿宋_GB2312" w:eastAsia="仿宋_GB2312"/>
                <w:sz w:val="21"/>
              </w:rPr>
              <w:t>西安文明网各新媒体平台日常维护更新</w:t>
            </w:r>
            <w:r>
              <w:rPr>
                <w:rFonts w:ascii="仿宋_GB2312" w:hAnsi="仿宋_GB2312" w:cs="仿宋_GB2312" w:eastAsia="仿宋_GB2312"/>
                <w:sz w:val="21"/>
              </w:rPr>
              <w:t>。</w:t>
            </w:r>
            <w:r>
              <w:rPr>
                <w:rFonts w:ascii="仿宋_GB2312" w:hAnsi="仿宋_GB2312" w:cs="仿宋_GB2312" w:eastAsia="仿宋_GB2312"/>
                <w:sz w:val="21"/>
              </w:rPr>
              <w:t>围绕重要宣传节点、工作要求制作视频、音频、海报等宣传</w:t>
            </w:r>
            <w:r>
              <w:rPr>
                <w:rFonts w:ascii="仿宋_GB2312" w:hAnsi="仿宋_GB2312" w:cs="仿宋_GB2312" w:eastAsia="仿宋_GB2312"/>
                <w:sz w:val="21"/>
              </w:rPr>
              <w:t>内容</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符合采购文件规定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项目验收需提供全年运维情况报告，经市委文明办实地（线上）考察验收，提交（不仅限于）项目结案、宣传链接、截图、视频、照片等相关资料。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合同签订后，乙方开具等额增值税发票，甲方验票无误后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运营满三个月</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履约延误：如乙方事先未征得甲方同意并得到甲方的谅解而单方面延迟提供服务，将按违约终止合同。乙方必须严格按照服务期要求执行，超期甲方不予支付合同款，同时保留追究相关责任的权利。2、违约终止合同：未按合同要求提供服务，甲方会同监督机构有权终止合同，对乙方违约行为进行追究，同时按政府采购法的有关规定进行相应的处罚。3、争议解决：本合同履行过程中发生争议的，双方应积极协商解决，协商不成时，甲乙双方同意将争议提交甲方所在地人民法院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 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2、供应商需要在线提交所有通过电子化交易平台实施的政府采购项目的投标文件，同时，线下提交纸质投标文件正本壹份、副本贰份。 纸质投标文件正副本均需胶装， 若电子投标文件与纸质投标文件不一致的，以在线 提交的电子投标文件为准； 线下递交文件地点： 西安市高新区唐延路旺座现代城C座25楼2502室；若选择邮寄，请邮寄至旺座现代城C座25楼2502室。联系电话：029-88319689-8006 邮箱：sxwzzb123@163.com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w:t>
            </w:r>
          </w:p>
        </w:tc>
        <w:tc>
          <w:tcPr>
            <w:tcW w:type="dxa" w:w="3322"/>
          </w:tcPr>
          <w:p>
            <w:pPr>
              <w:pStyle w:val="null3"/>
            </w:pPr>
            <w:r>
              <w:rPr>
                <w:rFonts w:ascii="仿宋_GB2312" w:hAnsi="仿宋_GB2312" w:cs="仿宋_GB2312" w:eastAsia="仿宋_GB2312"/>
              </w:rPr>
              <w:t>依据《中华人民共和国政府采购法》和《中华人民共和国政府采购实施条例》的有关规定，落实政府采购“优先购买节能环保产品、扶持小微企业、残疾人就业、监狱企业、福利企业” 等相关政策。 1、《政府采购促进中小企业发展管理办法》（财库〔2020〕46号）； 2、《关于进一步加大政府采购支持中小企业力度的通知》财库〔2022〕19号； 3、《财政部 司法部关于政府采购支持监狱企业发展有关问题的通知》（财库〔2014〕68号）； 4、《国务院办公厅关于建立政府强制采购节能产品制度的通知》（国办发〔2007〕51号）； 5、《关于调整优化节能产品、环境标志产品政府采购执行机制的通知》（财库[2019]9号）； 6、《关于发布参与实施政府采购节能产品、环境标志产品认证机构名录的公告》（2019年第16号）； 7、《三部门联合发布关于促进残疾人就业政府采购政策的通知》（财库〔2017〕141号）。 8、陕西省财政厅关于印发《陕西省中小企业政府采购信用融资办法》（陕财办采〔2018〕23号）。 9、其他需要落实的政府采购政策；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1月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供应商提供本单位2025年1月至今已缴纳的至少一个月纳税证明或完税证明，依法免税的单位应提供相关证明材料；（以税款所属日期为准）</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提供本单位经会计师事务所审计的2023年或2024年任意一年的财务审计报告(报告须带有二维码可验证)或在开标日期前六个月内其基本开户银行出具的资信证明；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供应商应出具参加本次政府采购活动前3年内在经营活动中没有重大违法违纪，以及未被列入失信被执行人、重大税收违法案件当事人名单、政府采购严重违法失信行为记录名单的书面声明；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非法定代表人参加投标，须提供法定代表人授权委托书及被授权人身份证；法定代表人参加投标时,须提供法定代表人身份证；</w:t>
            </w:r>
          </w:p>
        </w:tc>
        <w:tc>
          <w:tcPr>
            <w:tcW w:type="dxa" w:w="1661"/>
          </w:tcPr>
          <w:p>
            <w:pPr>
              <w:pStyle w:val="null3"/>
            </w:pPr>
            <w:r>
              <w:rPr>
                <w:rFonts w:ascii="仿宋_GB2312" w:hAnsi="仿宋_GB2312" w:cs="仿宋_GB2312" w:eastAsia="仿宋_GB2312"/>
              </w:rPr>
              <w:t>02供应商资格证明资料.docx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02供应商资格证明资料.docx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响应报价未超过预算或最高单价限价</w:t>
            </w:r>
          </w:p>
        </w:tc>
        <w:tc>
          <w:tcPr>
            <w:tcW w:type="dxa" w:w="1661"/>
          </w:tcPr>
          <w:p>
            <w:pPr>
              <w:pStyle w:val="null3"/>
            </w:pPr>
            <w:r>
              <w:rPr>
                <w:rFonts w:ascii="仿宋_GB2312" w:hAnsi="仿宋_GB2312" w:cs="仿宋_GB2312" w:eastAsia="仿宋_GB2312"/>
              </w:rPr>
              <w:t>01分项报价表.docx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w:t>
            </w:r>
          </w:p>
        </w:tc>
        <w:tc>
          <w:tcPr>
            <w:tcW w:type="dxa" w:w="1661"/>
          </w:tcPr>
          <w:p>
            <w:pPr>
              <w:pStyle w:val="null3"/>
            </w:pPr>
            <w:r>
              <w:rPr>
                <w:rFonts w:ascii="仿宋_GB2312" w:hAnsi="仿宋_GB2312" w:cs="仿宋_GB2312" w:eastAsia="仿宋_GB2312"/>
              </w:rPr>
              <w:t>3.商务和服务响应偏离表.docx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响应文件签字、盖章满足竞争性磋商文件要求</w:t>
            </w:r>
          </w:p>
        </w:tc>
        <w:tc>
          <w:tcPr>
            <w:tcW w:type="dxa" w:w="1661"/>
          </w:tcPr>
          <w:p>
            <w:pPr>
              <w:pStyle w:val="null3"/>
            </w:pPr>
            <w:r>
              <w:rPr>
                <w:rFonts w:ascii="仿宋_GB2312" w:hAnsi="仿宋_GB2312" w:cs="仿宋_GB2312" w:eastAsia="仿宋_GB2312"/>
              </w:rPr>
              <w:t>响应文件封面 14.供应商承诺书.docx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与磋商文件商务要求条款一致未增加采购人难以接受的条款</w:t>
            </w:r>
          </w:p>
        </w:tc>
        <w:tc>
          <w:tcPr>
            <w:tcW w:type="dxa" w:w="1661"/>
          </w:tcPr>
          <w:p>
            <w:pPr>
              <w:pStyle w:val="null3"/>
            </w:pPr>
            <w:r>
              <w:rPr>
                <w:rFonts w:ascii="仿宋_GB2312" w:hAnsi="仿宋_GB2312" w:cs="仿宋_GB2312" w:eastAsia="仿宋_GB2312"/>
              </w:rPr>
              <w:t>3.商务和服务响应偏离表.docx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符合法律法规和磋商文件规定的其他实质性要求</w:t>
            </w:r>
          </w:p>
        </w:tc>
        <w:tc>
          <w:tcPr>
            <w:tcW w:type="dxa" w:w="1661"/>
          </w:tcPr>
          <w:p>
            <w:pPr>
              <w:pStyle w:val="null3"/>
            </w:pPr>
            <w:r>
              <w:rPr>
                <w:rFonts w:ascii="仿宋_GB2312" w:hAnsi="仿宋_GB2312" w:cs="仿宋_GB2312" w:eastAsia="仿宋_GB2312"/>
              </w:rPr>
              <w:t>15.供应商认为其他有必要说明的其他问题.docx 3.商务和服务响应偏离表.docx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项目需求理解及分析</w:t>
            </w:r>
          </w:p>
        </w:tc>
        <w:tc>
          <w:tcPr>
            <w:tcW w:type="dxa" w:w="2492"/>
          </w:tcPr>
          <w:p>
            <w:pPr>
              <w:pStyle w:val="null3"/>
            </w:pPr>
            <w:r>
              <w:rPr>
                <w:rFonts w:ascii="仿宋_GB2312" w:hAnsi="仿宋_GB2312" w:cs="仿宋_GB2312" w:eastAsia="仿宋_GB2312"/>
              </w:rPr>
              <w:t>根据供应商针对本项目制定的需求响应方案，包括但不限于：①项目理解②需求响应及分析③项目重难点分析 完全满足采购需求并符合本项目实施特点的得9分；以上方案中每缺少一项内容扣3分；每有一处内容与实际需求不符或不满足要求或与本项目需求不切合或直接套用其他项目内容的扣0.5-2.5分，扣完为止。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4.项目需求理解及分析.docx</w:t>
            </w:r>
          </w:p>
        </w:tc>
      </w:tr>
      <w:tr>
        <w:tc>
          <w:tcPr>
            <w:tcW w:type="dxa" w:w="831"/>
            <w:vMerge/>
          </w:tcPr>
          <w:p/>
        </w:tc>
        <w:tc>
          <w:tcPr>
            <w:tcW w:type="dxa" w:w="1661"/>
          </w:tcPr>
          <w:p>
            <w:pPr>
              <w:pStyle w:val="null3"/>
            </w:pPr>
            <w:r>
              <w:rPr>
                <w:rFonts w:ascii="仿宋_GB2312" w:hAnsi="仿宋_GB2312" w:cs="仿宋_GB2312" w:eastAsia="仿宋_GB2312"/>
              </w:rPr>
              <w:t>运营和维护方案</w:t>
            </w:r>
          </w:p>
        </w:tc>
        <w:tc>
          <w:tcPr>
            <w:tcW w:type="dxa" w:w="2492"/>
          </w:tcPr>
          <w:p>
            <w:pPr>
              <w:pStyle w:val="null3"/>
            </w:pPr>
            <w:r>
              <w:rPr>
                <w:rFonts w:ascii="仿宋_GB2312" w:hAnsi="仿宋_GB2312" w:cs="仿宋_GB2312" w:eastAsia="仿宋_GB2312"/>
              </w:rPr>
              <w:t>根据供应商提供的运营和管理方案进行评审，包括但不限于①文明网网站运②“文明西安”新媒体平台系列号端的内容维护管理③文明网专页和APP运营和维护④作品资源库运营和维护等），方案详实、科学、先进，可行性强。日常信息发布高效、高质、及时，活动工作完善、专业，技术手段高度契合项目需求计5分；方案较详实可行计3分；方案不合理、内容空泛、可行性差计1分；未提供不计分。 （以上每个方案最高计5分，运营和维护方案总分20分。）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5.运营和维护方案.docx</w:t>
            </w:r>
          </w:p>
        </w:tc>
      </w:tr>
      <w:tr>
        <w:tc>
          <w:tcPr>
            <w:tcW w:type="dxa" w:w="831"/>
            <w:vMerge/>
          </w:tcPr>
          <w:p/>
        </w:tc>
        <w:tc>
          <w:tcPr>
            <w:tcW w:type="dxa" w:w="1661"/>
          </w:tcPr>
          <w:p>
            <w:pPr>
              <w:pStyle w:val="null3"/>
            </w:pPr>
            <w:r>
              <w:rPr>
                <w:rFonts w:ascii="仿宋_GB2312" w:hAnsi="仿宋_GB2312" w:cs="仿宋_GB2312" w:eastAsia="仿宋_GB2312"/>
              </w:rPr>
              <w:t>推广及宣传方案</w:t>
            </w:r>
          </w:p>
        </w:tc>
        <w:tc>
          <w:tcPr>
            <w:tcW w:type="dxa" w:w="2492"/>
          </w:tcPr>
          <w:p>
            <w:pPr>
              <w:pStyle w:val="null3"/>
            </w:pPr>
            <w:r>
              <w:rPr>
                <w:rFonts w:ascii="仿宋_GB2312" w:hAnsi="仿宋_GB2312" w:cs="仿宋_GB2312" w:eastAsia="仿宋_GB2312"/>
              </w:rPr>
              <w:t>根据供应商针对专题活动及重要宣传节点所提供的宣传推广方案进行评审，推广宣传服务内容贴切，宣传活动策划方案合理计7分；方案较完善合理计4分；宣传策划方案内容空泛。可行性差计1分；未提供不计分。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6.推广及宣传方案.docx</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根据供应商针对本项目提供的服务质量保障方案，质量保证措施、保证承诺、满足采购人管理要求、提供保障性服务等。 方案全面保证措施具有科学性、可行性，质量保证承诺全面计7分； 方案全面保证措施可行性较高，质量保证承诺较全面计4分； 方案简单，质量保证承诺一般计1分，未提供不计分。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7.服务质量保障方案.docx</w:t>
            </w:r>
          </w:p>
        </w:tc>
      </w:tr>
      <w:tr>
        <w:tc>
          <w:tcPr>
            <w:tcW w:type="dxa" w:w="831"/>
            <w:vMerge/>
          </w:tcPr>
          <w:p/>
        </w:tc>
        <w:tc>
          <w:tcPr>
            <w:tcW w:type="dxa" w:w="1661"/>
          </w:tcPr>
          <w:p>
            <w:pPr>
              <w:pStyle w:val="null3"/>
            </w:pPr>
            <w:r>
              <w:rPr>
                <w:rFonts w:ascii="仿宋_GB2312" w:hAnsi="仿宋_GB2312" w:cs="仿宋_GB2312" w:eastAsia="仿宋_GB2312"/>
              </w:rPr>
              <w:t>日常监测工作方案</w:t>
            </w:r>
          </w:p>
        </w:tc>
        <w:tc>
          <w:tcPr>
            <w:tcW w:type="dxa" w:w="2492"/>
          </w:tcPr>
          <w:p>
            <w:pPr>
              <w:pStyle w:val="null3"/>
            </w:pPr>
            <w:r>
              <w:rPr>
                <w:rFonts w:ascii="仿宋_GB2312" w:hAnsi="仿宋_GB2312" w:cs="仿宋_GB2312" w:eastAsia="仿宋_GB2312"/>
              </w:rPr>
              <w:t>根据供应商针对本项目提供严格的审稿流程、审片流程、播出的审核流程和机制。按其响应程度进行评审。审核流程完整，职责清晰，责任分明，安排合理计7分；审核流程较完整，安排较合理计4分；审核流程不完整，安排不合理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8.日常监测工作方案.docx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针对本项目实施过程中人员配置情况（包括平台建设、维护、日常管理、培训、采编、制作、运营及策划团队等组成情况）进行评审， 1.项目团队人员岗位职责分工明确、人员结构安排合理、从业经验丰富，可行性强，计10分； 2.项目团队人员职责分工较明确、结构安排基本合理，从业经验较丰富，基本可行，计7分； 3.项目团队人员职责分工及结构安排基本明确，人员有一定的工作经验计4分； 4.项目团队人员职责及安排不合理计1分；5.未提供不计分。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9.人员配备.docx</w:t>
            </w:r>
          </w:p>
        </w:tc>
      </w:tr>
      <w:tr>
        <w:tc>
          <w:tcPr>
            <w:tcW w:type="dxa" w:w="831"/>
            <w:vMerge/>
          </w:tcPr>
          <w:p/>
        </w:tc>
        <w:tc>
          <w:tcPr>
            <w:tcW w:type="dxa" w:w="1661"/>
          </w:tcPr>
          <w:p>
            <w:pPr>
              <w:pStyle w:val="null3"/>
            </w:pPr>
            <w:r>
              <w:rPr>
                <w:rFonts w:ascii="仿宋_GB2312" w:hAnsi="仿宋_GB2312" w:cs="仿宋_GB2312" w:eastAsia="仿宋_GB2312"/>
              </w:rPr>
              <w:t>进度计划安排</w:t>
            </w:r>
          </w:p>
        </w:tc>
        <w:tc>
          <w:tcPr>
            <w:tcW w:type="dxa" w:w="2492"/>
          </w:tcPr>
          <w:p>
            <w:pPr>
              <w:pStyle w:val="null3"/>
            </w:pPr>
            <w:r>
              <w:rPr>
                <w:rFonts w:ascii="仿宋_GB2312" w:hAnsi="仿宋_GB2312" w:cs="仿宋_GB2312" w:eastAsia="仿宋_GB2312"/>
              </w:rPr>
              <w:t>根据供应商针对本项目提供的进度计划进行评审，方案完善、整体时间安排合理、有效，计划详细计7分；方案可实施性较强，进度安排不合理计4分；方案较差，进度安排不合理计1分；未提供不计分。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10.进度计划安排.docx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供应商针对故障及其他突发情况的应急方案，有具体可行的应急措施和解决方案。 1.预案完善可行，措施细致可操作性强，计7分； 2.预案基本完整，具有一定的可操作性和针对性，计5分； 3.预案完善程度一般，措施宽泛可操作性一般，计3分； 4.预案内容不全或内容简单有欠缺，未贴合实际，可操作性不强，计1分； 5.未提供的不计分。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11.应急预案.docx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针对本项目服务要求能够充分保证达到项目实施目的，有详细的服务承诺，提出有利于采购人提高服务质量且切实可行的承诺，且承诺内容具有可行性，满足采购人实际需求，定期向采购人进行工作的进展和工作阶段成果的例行汇报等，评审小组根据响应程度打分，承诺全面可行计6分，承诺较好、可操作性较强计3分，承诺一般计1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12.服务承诺及合理化建议.docx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供应商提供2022年01月01日至今（以合同签订时间为准） 类似项目业绩合同或开展类似项目主要佐证材料，每提供一个计2分，最高计10分。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13.供应商业绩一览表.docx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价格分统一采用低价优先法计算，即满足磋商文件要求且磋商价格最低的最终磋商报价为磋商基准价，其价格分为满分。其他供应商的价格分统一按照下列公式计算：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详见附件：01分项报价表.docx</w:t>
      </w:r>
    </w:p>
    <w:p>
      <w:pPr>
        <w:pStyle w:val="null3"/>
        <w:ind w:firstLine="960"/>
      </w:pPr>
      <w:r>
        <w:rPr>
          <w:rFonts w:ascii="仿宋_GB2312" w:hAnsi="仿宋_GB2312" w:cs="仿宋_GB2312" w:eastAsia="仿宋_GB2312"/>
        </w:rPr>
        <w:t>详见附件：02供应商资格证明资料.docx</w:t>
      </w:r>
    </w:p>
    <w:p>
      <w:pPr>
        <w:pStyle w:val="null3"/>
        <w:ind w:firstLine="960"/>
      </w:pPr>
      <w:r>
        <w:rPr>
          <w:rFonts w:ascii="仿宋_GB2312" w:hAnsi="仿宋_GB2312" w:cs="仿宋_GB2312" w:eastAsia="仿宋_GB2312"/>
        </w:rPr>
        <w:t>详见附件：3.商务和服务响应偏离表.docx</w:t>
      </w:r>
    </w:p>
    <w:p>
      <w:pPr>
        <w:pStyle w:val="null3"/>
        <w:ind w:firstLine="960"/>
      </w:pPr>
      <w:r>
        <w:rPr>
          <w:rFonts w:ascii="仿宋_GB2312" w:hAnsi="仿宋_GB2312" w:cs="仿宋_GB2312" w:eastAsia="仿宋_GB2312"/>
        </w:rPr>
        <w:t>详见附件：4.项目需求理解及分析.docx</w:t>
      </w:r>
    </w:p>
    <w:p>
      <w:pPr>
        <w:pStyle w:val="null3"/>
        <w:ind w:firstLine="960"/>
      </w:pPr>
      <w:r>
        <w:rPr>
          <w:rFonts w:ascii="仿宋_GB2312" w:hAnsi="仿宋_GB2312" w:cs="仿宋_GB2312" w:eastAsia="仿宋_GB2312"/>
        </w:rPr>
        <w:t>详见附件：5.运营和维护方案.docx</w:t>
      </w:r>
    </w:p>
    <w:p>
      <w:pPr>
        <w:pStyle w:val="null3"/>
        <w:ind w:firstLine="960"/>
      </w:pPr>
      <w:r>
        <w:rPr>
          <w:rFonts w:ascii="仿宋_GB2312" w:hAnsi="仿宋_GB2312" w:cs="仿宋_GB2312" w:eastAsia="仿宋_GB2312"/>
        </w:rPr>
        <w:t>详见附件：6.推广及宣传方案.docx</w:t>
      </w:r>
    </w:p>
    <w:p>
      <w:pPr>
        <w:pStyle w:val="null3"/>
        <w:ind w:firstLine="960"/>
      </w:pPr>
      <w:r>
        <w:rPr>
          <w:rFonts w:ascii="仿宋_GB2312" w:hAnsi="仿宋_GB2312" w:cs="仿宋_GB2312" w:eastAsia="仿宋_GB2312"/>
        </w:rPr>
        <w:t>详见附件：7.服务质量保障方案.docx</w:t>
      </w:r>
    </w:p>
    <w:p>
      <w:pPr>
        <w:pStyle w:val="null3"/>
        <w:ind w:firstLine="960"/>
      </w:pPr>
      <w:r>
        <w:rPr>
          <w:rFonts w:ascii="仿宋_GB2312" w:hAnsi="仿宋_GB2312" w:cs="仿宋_GB2312" w:eastAsia="仿宋_GB2312"/>
        </w:rPr>
        <w:t>详见附件：8.日常监测工作方案.docx</w:t>
      </w:r>
    </w:p>
    <w:p>
      <w:pPr>
        <w:pStyle w:val="null3"/>
        <w:ind w:firstLine="960"/>
      </w:pPr>
      <w:r>
        <w:rPr>
          <w:rFonts w:ascii="仿宋_GB2312" w:hAnsi="仿宋_GB2312" w:cs="仿宋_GB2312" w:eastAsia="仿宋_GB2312"/>
        </w:rPr>
        <w:t>详见附件：9.人员配备.docx</w:t>
      </w:r>
    </w:p>
    <w:p>
      <w:pPr>
        <w:pStyle w:val="null3"/>
        <w:ind w:firstLine="960"/>
      </w:pPr>
      <w:r>
        <w:rPr>
          <w:rFonts w:ascii="仿宋_GB2312" w:hAnsi="仿宋_GB2312" w:cs="仿宋_GB2312" w:eastAsia="仿宋_GB2312"/>
        </w:rPr>
        <w:t>详见附件：10.进度计划安排.docx</w:t>
      </w:r>
    </w:p>
    <w:p>
      <w:pPr>
        <w:pStyle w:val="null3"/>
        <w:ind w:firstLine="960"/>
      </w:pPr>
      <w:r>
        <w:rPr>
          <w:rFonts w:ascii="仿宋_GB2312" w:hAnsi="仿宋_GB2312" w:cs="仿宋_GB2312" w:eastAsia="仿宋_GB2312"/>
        </w:rPr>
        <w:t>详见附件：11.应急预案.docx</w:t>
      </w:r>
    </w:p>
    <w:p>
      <w:pPr>
        <w:pStyle w:val="null3"/>
        <w:ind w:firstLine="960"/>
      </w:pPr>
      <w:r>
        <w:rPr>
          <w:rFonts w:ascii="仿宋_GB2312" w:hAnsi="仿宋_GB2312" w:cs="仿宋_GB2312" w:eastAsia="仿宋_GB2312"/>
        </w:rPr>
        <w:t>详见附件：12.服务承诺及合理化建议.docx</w:t>
      </w:r>
    </w:p>
    <w:p>
      <w:pPr>
        <w:pStyle w:val="null3"/>
        <w:ind w:firstLine="960"/>
      </w:pPr>
      <w:r>
        <w:rPr>
          <w:rFonts w:ascii="仿宋_GB2312" w:hAnsi="仿宋_GB2312" w:cs="仿宋_GB2312" w:eastAsia="仿宋_GB2312"/>
        </w:rPr>
        <w:t>详见附件：13.供应商业绩一览表.docx</w:t>
      </w:r>
    </w:p>
    <w:p>
      <w:pPr>
        <w:pStyle w:val="null3"/>
        <w:ind w:firstLine="960"/>
      </w:pPr>
      <w:r>
        <w:rPr>
          <w:rFonts w:ascii="仿宋_GB2312" w:hAnsi="仿宋_GB2312" w:cs="仿宋_GB2312" w:eastAsia="仿宋_GB2312"/>
        </w:rPr>
        <w:t>详见附件：14.供应商承诺书.docx</w:t>
      </w:r>
    </w:p>
    <w:p>
      <w:pPr>
        <w:pStyle w:val="null3"/>
        <w:ind w:firstLine="960"/>
      </w:pPr>
      <w:r>
        <w:rPr>
          <w:rFonts w:ascii="仿宋_GB2312" w:hAnsi="仿宋_GB2312" w:cs="仿宋_GB2312" w:eastAsia="仿宋_GB2312"/>
        </w:rPr>
        <w:t>详见附件：15.供应商认为其他有必要说明的其他问题.docx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详见附件：采购合同模板-西安文明网建设运营项目.docx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