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版本号：SXWZ2025ZB-SXCB-13720250609001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全市重点亮点工作宣传推广项目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SXWZ2025ZB-SXCB-137</w:t>
      </w:r>
      <w:r>
        <w:br/>
      </w:r>
      <w:r>
        <w:br/>
      </w:r>
      <w:r>
        <w:br/>
      </w:r>
    </w:p>
    <w:p>
      <w:pPr>
        <w:pStyle w:val="null3"/>
        <w:jc w:val="center"/>
        <w:outlineLvl w:val="2"/>
      </w:pPr>
      <w:r>
        <w:rPr>
          <w:rFonts w:ascii="仿宋_GB2312" w:hAnsi="仿宋_GB2312" w:cs="仿宋_GB2312" w:eastAsia="仿宋_GB2312"/>
          <w:sz w:val="28"/>
          <w:b/>
        </w:rPr>
        <w:t>中共西安市委宣传部（本级）</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中共西安市委宣传部（本级）</w:t>
      </w:r>
      <w:r>
        <w:rPr>
          <w:rFonts w:ascii="仿宋_GB2312" w:hAnsi="仿宋_GB2312" w:cs="仿宋_GB2312" w:eastAsia="仿宋_GB2312"/>
        </w:rPr>
        <w:t>委托，拟对</w:t>
      </w:r>
      <w:r>
        <w:rPr>
          <w:rFonts w:ascii="仿宋_GB2312" w:hAnsi="仿宋_GB2312" w:cs="仿宋_GB2312" w:eastAsia="仿宋_GB2312"/>
        </w:rPr>
        <w:t>全市重点亮点工作宣传推广项目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SXWZ2025ZB-SXCB-137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全市重点亮点工作宣传推广项目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全市重点亮点工作宣传推广</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采购包1（全市重点亮点工作宣传推广项目）：属于专门面向中小企业采购。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社会保障资金缴纳证明：供应商提供本单位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3、税收缴纳证明：供应商提供本单位2025年1月至今已缴纳的至少一个月纳税证明或完税证明，依法免税的单位应提供相关证明材料；（以税款所属日期为准）</w:t>
      </w:r>
    </w:p>
    <w:p>
      <w:pPr>
        <w:pStyle w:val="null3"/>
      </w:pPr>
      <w:r>
        <w:rPr>
          <w:rFonts w:ascii="仿宋_GB2312" w:hAnsi="仿宋_GB2312" w:cs="仿宋_GB2312" w:eastAsia="仿宋_GB2312"/>
        </w:rPr>
        <w:t>4、财务状况证明：提供本单位经会计师事务所审计的2023年或2024年任意一年的财务审计报告或在开标日期前六个月内其基本开户银行出具的资信证明；</w:t>
      </w:r>
    </w:p>
    <w:p>
      <w:pPr>
        <w:pStyle w:val="null3"/>
      </w:pPr>
      <w:r>
        <w:rPr>
          <w:rFonts w:ascii="仿宋_GB2312" w:hAnsi="仿宋_GB2312" w:cs="仿宋_GB2312" w:eastAsia="仿宋_GB2312"/>
        </w:rPr>
        <w:t>5、书面声明：供应商应出具参加本次政府采购活动前3年内在经营活动中没有重大违法违纪，以及未被列入失信被执行人、重大税收违法案件当事人名单、政府采购严重违法失信行为记录名单的书面声明；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6、授权书：非法定代表人参加投标，须提供法定代表人授权委托书及被授权人身份证；法定代表人参加投标时,须提供法定代表人身份证；</w:t>
      </w:r>
    </w:p>
    <w:p>
      <w:pPr>
        <w:pStyle w:val="null3"/>
      </w:pPr>
      <w:r>
        <w:rPr>
          <w:rFonts w:ascii="仿宋_GB2312" w:hAnsi="仿宋_GB2312" w:cs="仿宋_GB2312" w:eastAsia="仿宋_GB2312"/>
        </w:rPr>
        <w:t>7、中小企业声明函：本项目专门面向中小企业，供应商须提供中小企业声明函；</w:t>
      </w:r>
    </w:p>
    <w:p>
      <w:pPr>
        <w:pStyle w:val="null3"/>
      </w:pPr>
      <w:r>
        <w:rPr>
          <w:rFonts w:ascii="仿宋_GB2312" w:hAnsi="仿宋_GB2312" w:cs="仿宋_GB2312" w:eastAsia="仿宋_GB2312"/>
        </w:rPr>
        <w:t>8、本项目不接受联合体磋商：本项目不接受联合体磋商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中共西安市委宣传部（本级）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白老师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86780671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西安市高新区唐延路旺座现代城 C 座 25 楼 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张刘艳 张航波 郝思思</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029-88319689-8006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中共西安市委宣传部（本级）</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中共西安市委宣传部（本级）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中共西安市委宣传部（本级）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联系人：张刘艳 张航波 郝思思</w:t>
      </w:r>
    </w:p>
    <w:p>
      <w:pPr>
        <w:pStyle w:val="null3"/>
      </w:pPr>
      <w:r>
        <w:rPr>
          <w:rFonts w:ascii="仿宋_GB2312" w:hAnsi="仿宋_GB2312" w:cs="仿宋_GB2312" w:eastAsia="仿宋_GB2312"/>
        </w:rPr>
        <w:t>联系电话：029-88319689-8006</w:t>
      </w:r>
    </w:p>
    <w:p>
      <w:pPr>
        <w:pStyle w:val="null3"/>
      </w:pPr>
      <w:r>
        <w:rPr>
          <w:rFonts w:ascii="仿宋_GB2312" w:hAnsi="仿宋_GB2312" w:cs="仿宋_GB2312" w:eastAsia="仿宋_GB2312"/>
        </w:rPr>
        <w:t>地址：西安市高新区唐延路旺座现代城 C 座 25 楼 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全市重点亮点工作宣传推广</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1,700,000.00</w:t>
      </w:r>
    </w:p>
    <w:p>
      <w:pPr>
        <w:pStyle w:val="null3"/>
      </w:pPr>
      <w:r>
        <w:rPr>
          <w:rFonts w:ascii="仿宋_GB2312" w:hAnsi="仿宋_GB2312" w:cs="仿宋_GB2312" w:eastAsia="仿宋_GB2312"/>
        </w:rPr>
        <w:t>采购包最高限价（元）: 1,700,000.00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全市重点亮点工作宣传推广项目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标的名称：全市重点亮点工作宣传推广项目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ind w:firstLine="400"/>
            </w:pPr>
            <w:r>
              <w:rPr>
                <w:rFonts w:ascii="仿宋_GB2312" w:hAnsi="仿宋_GB2312" w:cs="仿宋_GB2312" w:eastAsia="仿宋_GB2312"/>
              </w:rPr>
              <w:t>该项目围绕我市</w:t>
            </w:r>
            <w:r>
              <w:rPr>
                <w:rFonts w:ascii="仿宋_GB2312" w:hAnsi="仿宋_GB2312" w:cs="仿宋_GB2312" w:eastAsia="仿宋_GB2312"/>
              </w:rPr>
              <w:t>“深化六个改革”进展成效，重点聚焦科技创新、产业创新和民生保障等，策划推出深化西安科创之城与硬科技之都城市品牌、民生与社会风尚、乡村振兴赋能新发展等专题内容，重点围绕我市航空航天、军工、高校、科研院所等优势资源在全国独特定位，同时突出我市增进文旅经济、演唱会服务保障和“唐诗之都”建设等。推广传播“车让人”等文明实践活动和“微光如炬”涌现出的平凡人不平凡的事迹，融通城市发展成果与精神文明建设成效，通过与互联网头部短视频平台和聚合类新闻客户端合作，联动网络达人和流量主播，构建多元内容与精准传播矩阵，面向国内重点区域、重点群体，线上线下聚合宣传我市改革发展新成果，强力推进经济宣传提质增效，塑造城市经济品牌新形象，为推动西安高质量发展营造浓厚舆论氛围。</w:t>
            </w:r>
          </w:p>
          <w:p>
            <w:pPr>
              <w:pStyle w:val="null3"/>
            </w:pPr>
            <w:r>
              <w:rPr>
                <w:rFonts w:ascii="仿宋_GB2312" w:hAnsi="仿宋_GB2312" w:cs="仿宋_GB2312" w:eastAsia="仿宋_GB2312"/>
              </w:rPr>
              <w:t>二、</w:t>
            </w:r>
            <w:r>
              <w:rPr>
                <w:rFonts w:ascii="仿宋_GB2312" w:hAnsi="仿宋_GB2312" w:cs="仿宋_GB2312" w:eastAsia="仿宋_GB2312"/>
              </w:rPr>
              <w:t>服务</w:t>
            </w:r>
            <w:r>
              <w:rPr>
                <w:rFonts w:ascii="仿宋_GB2312" w:hAnsi="仿宋_GB2312" w:cs="仿宋_GB2312" w:eastAsia="仿宋_GB2312"/>
              </w:rPr>
              <w:t>内容</w:t>
            </w:r>
          </w:p>
          <w:p>
            <w:pPr>
              <w:pStyle w:val="null3"/>
            </w:pPr>
            <w:r>
              <w:rPr>
                <w:rFonts w:ascii="仿宋_GB2312" w:hAnsi="仿宋_GB2312" w:cs="仿宋_GB2312" w:eastAsia="仿宋_GB2312"/>
              </w:rPr>
              <w:t>（一）传播重点和传播渠道</w:t>
            </w:r>
          </w:p>
          <w:p>
            <w:pPr>
              <w:pStyle w:val="null3"/>
              <w:ind w:firstLine="400"/>
            </w:pPr>
            <w:r>
              <w:rPr>
                <w:rFonts w:ascii="仿宋_GB2312" w:hAnsi="仿宋_GB2312" w:cs="仿宋_GB2312" w:eastAsia="仿宋_GB2312"/>
              </w:rPr>
              <w:t>1.打造线上话题。聚焦“科创之城”城市品牌，在头部网络平台策划#硬科技还得看西安#等科技话题，联动高校、科研院所、网络达人、科技企业和科技爱好者，打造西安“科技无处不在”的城市氛围，强化全球硬科技概念策源地品牌认知。</w:t>
            </w:r>
          </w:p>
          <w:p>
            <w:pPr>
              <w:pStyle w:val="null3"/>
              <w:ind w:firstLine="400"/>
            </w:pPr>
            <w:r>
              <w:rPr>
                <w:rFonts w:ascii="仿宋_GB2312" w:hAnsi="仿宋_GB2312" w:cs="仿宋_GB2312" w:eastAsia="仿宋_GB2312"/>
              </w:rPr>
              <w:t>2.开展线下活动。整合创作力量，组织本地科技、民生类网络达人开展“西安硬科技探秘”线下采风活动，通过达人视角解锁西安科技创新密码，重点聚焦</w:t>
            </w:r>
            <w:r>
              <w:rPr>
                <w:rFonts w:ascii="仿宋_GB2312" w:hAnsi="仿宋_GB2312" w:cs="仿宋_GB2312" w:eastAsia="仿宋_GB2312"/>
              </w:rPr>
              <w:t>“</w:t>
            </w:r>
            <w:r>
              <w:rPr>
                <w:rFonts w:ascii="仿宋_GB2312" w:hAnsi="仿宋_GB2312" w:cs="仿宋_GB2312" w:eastAsia="仿宋_GB2312"/>
              </w:rPr>
              <w:t>科技产业园探秘</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高校实验室探秘</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科研院所探秘</w:t>
            </w:r>
            <w:r>
              <w:rPr>
                <w:rFonts w:ascii="仿宋_GB2312" w:hAnsi="仿宋_GB2312" w:cs="仿宋_GB2312" w:eastAsia="仿宋_GB2312"/>
              </w:rPr>
              <w:t>”主题。聚焦“硬科技赋能美好生活”主题，深挖民生科技应用场景，以“未来已来——科技改变生活”为主线，制作系列短视频，展现千年古都与创新高地融合新图景。</w:t>
            </w:r>
          </w:p>
          <w:p>
            <w:pPr>
              <w:pStyle w:val="null3"/>
              <w:ind w:firstLine="400"/>
            </w:pPr>
            <w:r>
              <w:rPr>
                <w:rFonts w:ascii="仿宋_GB2312" w:hAnsi="仿宋_GB2312" w:cs="仿宋_GB2312" w:eastAsia="仿宋_GB2312"/>
              </w:rPr>
              <w:t>3.创作精品内容。紧扣民生实事，策划推出“民生微镜头”系列短视频内容，以群众视角讲述身边变化，让民生温度可感可知，民生西安形象广泛传播。围绕“乡约西安”主题开展助农直播，配合活动设计“西安乡村振兴地图”切片海报，全面展示乡村经济与特色文化双向赋能新成果。</w:t>
            </w:r>
          </w:p>
          <w:p>
            <w:pPr>
              <w:pStyle w:val="null3"/>
              <w:ind w:firstLine="400"/>
            </w:pPr>
            <w:r>
              <w:rPr>
                <w:rFonts w:ascii="仿宋_GB2312" w:hAnsi="仿宋_GB2312" w:cs="仿宋_GB2312" w:eastAsia="仿宋_GB2312"/>
              </w:rPr>
              <w:t>4.强化宣传推广。围绕低空经济大会、全球硬科技大会、欧亚经济论坛、全民秦腔大赛等重大会议活动，通过在互联网短视频平台和聚合类新闻客户端等渠道，以开屏广告、主题页面、信息流推广、专场直播等形式，实现广泛有效传播。</w:t>
            </w:r>
          </w:p>
          <w:p>
            <w:pPr>
              <w:pStyle w:val="null3"/>
              <w:ind w:firstLine="400"/>
            </w:pPr>
            <w:r>
              <w:rPr>
                <w:rFonts w:ascii="仿宋_GB2312" w:hAnsi="仿宋_GB2312" w:cs="仿宋_GB2312" w:eastAsia="仿宋_GB2312"/>
              </w:rPr>
              <w:t>5.完成我部临时安排的宣传报道任务。</w:t>
            </w:r>
          </w:p>
          <w:p>
            <w:pPr>
              <w:pStyle w:val="null3"/>
            </w:pPr>
            <w:r>
              <w:rPr>
                <w:rFonts w:ascii="仿宋_GB2312" w:hAnsi="仿宋_GB2312" w:cs="仿宋_GB2312" w:eastAsia="仿宋_GB2312"/>
              </w:rPr>
              <w:t>（二）</w:t>
            </w:r>
            <w:r>
              <w:rPr>
                <w:rFonts w:ascii="仿宋_GB2312" w:hAnsi="仿宋_GB2312" w:cs="仿宋_GB2312" w:eastAsia="仿宋_GB2312"/>
              </w:rPr>
              <w:t>项目目标</w:t>
            </w:r>
          </w:p>
          <w:p>
            <w:pPr>
              <w:pStyle w:val="null3"/>
              <w:jc w:val="both"/>
            </w:pPr>
            <w:r>
              <w:rPr>
                <w:rFonts w:ascii="仿宋_GB2312" w:hAnsi="仿宋_GB2312" w:cs="仿宋_GB2312" w:eastAsia="仿宋_GB2312"/>
                <w:sz w:val="21"/>
              </w:rPr>
              <w:t xml:space="preserve">       通过本项目在内容创作、达人联动、平台推广等多维发力，实现西安城市形象从</w:t>
            </w:r>
            <w:r>
              <w:rPr>
                <w:rFonts w:ascii="仿宋_GB2312" w:hAnsi="仿宋_GB2312" w:cs="仿宋_GB2312" w:eastAsia="仿宋_GB2312"/>
                <w:sz w:val="21"/>
              </w:rPr>
              <w:t>“文旅单核”向“科技+民生+文化”多元赋能转变，推动西安科创之城和硬科技之都品牌认知从区域级迈向全国标杆级，持续提升城市影响力与竞争力，加强预期引导，全面展现西安在民生领域的创新实践与工作成效，增进市民对城市发展的认同感与满意度，助力构建良性互动的城市治理生态。</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符合采购文件规定</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符合采购文件规定</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符合采购文件规定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合同签订之日起至项目执行结束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结合我方传播推广需求和重点，提供宣传推广策划方案，方案要求重点突出、内容细致、渠道多样，能够提供头部主流网络平台、短视频和聚合新闻客户端等渠道资源、优质文字内容采写、视频内容拍摄制作和播发等服务，能够在头部互联网短视频平台和主流聚合类新闻客户端广泛传播，产生正面宣传效果。</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合同签订且供应商开具增值税发票后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项目结束后，供应商出具结项报告，第三方验收完成后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1.弃标须知：根据市财函【2021】431号文第16条规定：供应商登记免费领取采购文件的，如不参与项目投标，应在递 交投标（或响应）文件截止时间前一日以书面形式告知采购代理机构。否则，采购代理机构可以向财政部门反应情况并提供佐证。供应商一年内累计出现三次该情形，将被监管部门记录为失信行为。2、供应商需要在线提交所有通过电子化交易平台实施的政府采购项目的投标文件，同时，线下提交纸质投标文件正本壹份、副本贰份。纸质投标文件正副本均需胶装，若电子投标文件与纸质投标文件不一致的，以在线提交的电子投标文件为准； 线下递交文件地点：西安市高新区唐延路旺座现代城C座25楼2502室；若选择邮寄，请邮寄至旺座现代城C座25楼2502室。联系电话：029-88319689-8006 邮箱：sxwzzb123@163.com</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w:t>
            </w:r>
          </w:p>
        </w:tc>
        <w:tc>
          <w:tcPr>
            <w:tcW w:type="dxa" w:w="3322"/>
          </w:tcPr>
          <w:p>
            <w:pPr>
              <w:pStyle w:val="null3"/>
            </w:pPr>
            <w:r>
              <w:rPr>
                <w:rFonts w:ascii="仿宋_GB2312" w:hAnsi="仿宋_GB2312" w:cs="仿宋_GB2312" w:eastAsia="仿宋_GB2312"/>
              </w:rPr>
              <w:t>依据《中华人民共和国政府采购法》和《中华人民共和国政府采购实施条例》的有关规定，落实政府采购“优先购买节能环保产品、扶持小微企业、残疾人就业、监狱企业、福利企业” 等相关政策。 1、《政府采购促进中小企业发展管理办法》（财库〔2020〕46号）； 2、《关于进一步加大政府采购支持中小企业力度的通知》财库〔2022〕19号； 3、《财政部 司法部关于政府采购支持监狱企业发展有关问题的通知》（财库〔2014〕68号）； 4、《国务院办公厅关于建立政府强制采购节能产品制度的通知》（国办发〔2007〕51号）； 5、《关于调整优化节能产品、环境标志产品政府采购执行机制的通知》（财库[2019]9号）； 6、《关于发布参与实施政府采购节能产品、环境标志产品认证机构名录的公告》（2019年第16号）； 7、《三部门联合发布关于促进残疾人就业政府采购政策的通知》（财库〔2017〕141号）。 8、陕西省财政厅关于印发《陕西省中小企业政府采购信用融资办法》（陕财办采〔2018〕23号）。 9、其他需要落实的政府采购政策；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本单位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供应商提供本单位2025年1月至今已缴纳的至少一个月纳税证明或完税证明，依法免税的单位应提供相关证明材料；（以税款所属日期为准）</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提供本单位经会计师事务所审计的2023年或2024年任意一年的财务审计报告或在开标日期前六个月内其基本开户银行出具的资信证明；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供应商应出具参加本次政府采购活动前3年内在经营活动中没有重大违法违纪，以及未被列入失信被执行人、重大税收违法案件当事人名单、政府采购严重违法失信行为记录名单的书面声明；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非法定代表人参加投标，须提供法定代表人授权委托书及被授权人身份证；法定代表人参加投标时,须提供法定代表人身份证；</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本项目专门面向中小企业，供应商须提供中小企业声明函；</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02供应商资格证明资料.docx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响应报价未超过预算或最高单价限价</w:t>
            </w:r>
          </w:p>
        </w:tc>
        <w:tc>
          <w:tcPr>
            <w:tcW w:type="dxa" w:w="1661"/>
          </w:tcPr>
          <w:p>
            <w:pPr>
              <w:pStyle w:val="null3"/>
            </w:pPr>
            <w:r>
              <w:rPr>
                <w:rFonts w:ascii="仿宋_GB2312" w:hAnsi="仿宋_GB2312" w:cs="仿宋_GB2312" w:eastAsia="仿宋_GB2312"/>
              </w:rPr>
              <w:t>01分项报价表.docx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服务期限满足竞争性磋商文件要求</w:t>
            </w:r>
          </w:p>
        </w:tc>
        <w:tc>
          <w:tcPr>
            <w:tcW w:type="dxa" w:w="1661"/>
          </w:tcPr>
          <w:p>
            <w:pPr>
              <w:pStyle w:val="null3"/>
            </w:pPr>
            <w:r>
              <w:rPr>
                <w:rFonts w:ascii="仿宋_GB2312" w:hAnsi="仿宋_GB2312" w:cs="仿宋_GB2312" w:eastAsia="仿宋_GB2312"/>
              </w:rPr>
              <w:t>3.商务和服务响应偏离表.docx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w:t>
            </w:r>
          </w:p>
        </w:tc>
        <w:tc>
          <w:tcPr>
            <w:tcW w:type="dxa" w:w="3322"/>
          </w:tcPr>
          <w:p>
            <w:pPr>
              <w:pStyle w:val="null3"/>
            </w:pPr>
            <w:r>
              <w:rPr>
                <w:rFonts w:ascii="仿宋_GB2312" w:hAnsi="仿宋_GB2312" w:cs="仿宋_GB2312" w:eastAsia="仿宋_GB2312"/>
              </w:rPr>
              <w:t>响应文件签字、盖章满足竞争性磋商文件要求</w:t>
            </w:r>
          </w:p>
        </w:tc>
        <w:tc>
          <w:tcPr>
            <w:tcW w:type="dxa" w:w="1661"/>
          </w:tcPr>
          <w:p>
            <w:pPr>
              <w:pStyle w:val="null3"/>
            </w:pPr>
            <w:r>
              <w:rPr>
                <w:rFonts w:ascii="仿宋_GB2312" w:hAnsi="仿宋_GB2312" w:cs="仿宋_GB2312" w:eastAsia="仿宋_GB2312"/>
              </w:rPr>
              <w:t>响应文件封面 01分项报价表.docx 02供应商资格证明资料.docx 16.供应商承诺书.docx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与磋商文件商务要求条款一致未增加采购人难以接受的条款</w:t>
            </w:r>
          </w:p>
        </w:tc>
        <w:tc>
          <w:tcPr>
            <w:tcW w:type="dxa" w:w="1661"/>
          </w:tcPr>
          <w:p>
            <w:pPr>
              <w:pStyle w:val="null3"/>
            </w:pPr>
            <w:r>
              <w:rPr>
                <w:rFonts w:ascii="仿宋_GB2312" w:hAnsi="仿宋_GB2312" w:cs="仿宋_GB2312" w:eastAsia="仿宋_GB2312"/>
              </w:rPr>
              <w:t>3.商务和服务响应偏离表.docx 17.供应商认为其他有必要说明的其他问题.docx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符合法律法规和磋商文件规定的其他实质性要求</w:t>
            </w:r>
          </w:p>
        </w:tc>
        <w:tc>
          <w:tcPr>
            <w:tcW w:type="dxa" w:w="1661"/>
          </w:tcPr>
          <w:p>
            <w:pPr>
              <w:pStyle w:val="null3"/>
            </w:pPr>
            <w:r>
              <w:rPr>
                <w:rFonts w:ascii="仿宋_GB2312" w:hAnsi="仿宋_GB2312" w:cs="仿宋_GB2312" w:eastAsia="仿宋_GB2312"/>
              </w:rPr>
              <w:t>3.商务和服务响应偏离表.docx 17.供应商认为其他有必要说明的其他问题.docx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项目需求理解及分析</w:t>
            </w:r>
          </w:p>
        </w:tc>
        <w:tc>
          <w:tcPr>
            <w:tcW w:type="dxa" w:w="2492"/>
          </w:tcPr>
          <w:p>
            <w:pPr>
              <w:pStyle w:val="null3"/>
            </w:pPr>
            <w:r>
              <w:rPr>
                <w:rFonts w:ascii="仿宋_GB2312" w:hAnsi="仿宋_GB2312" w:cs="仿宋_GB2312" w:eastAsia="仿宋_GB2312"/>
              </w:rPr>
              <w:t>根据供应商针对本项目制定的需求响应方案，包括但不限于：①项目理解②需求响应及分析③项目重难点分析 完全满足采购需求并符合本项目实施特点的得9分；以上方案中每缺少一项内容扣3分；每有一处内容与实际需求不符或不满足要求或与本项目需求不切合或直接套用其他项目内容的扣0.5-2.5分，扣完为止。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4.项目需求理解及分析.docx</w:t>
            </w:r>
          </w:p>
        </w:tc>
      </w:tr>
      <w:tr>
        <w:tc>
          <w:tcPr>
            <w:tcW w:type="dxa" w:w="831"/>
            <w:vMerge/>
          </w:tcPr>
          <w:p/>
        </w:tc>
        <w:tc>
          <w:tcPr>
            <w:tcW w:type="dxa" w:w="1661"/>
          </w:tcPr>
          <w:p>
            <w:pPr>
              <w:pStyle w:val="null3"/>
            </w:pPr>
            <w:r>
              <w:rPr>
                <w:rFonts w:ascii="仿宋_GB2312" w:hAnsi="仿宋_GB2312" w:cs="仿宋_GB2312" w:eastAsia="仿宋_GB2312"/>
              </w:rPr>
              <w:t>策划方案</w:t>
            </w:r>
          </w:p>
        </w:tc>
        <w:tc>
          <w:tcPr>
            <w:tcW w:type="dxa" w:w="2492"/>
          </w:tcPr>
          <w:p>
            <w:pPr>
              <w:pStyle w:val="null3"/>
            </w:pPr>
            <w:r>
              <w:rPr>
                <w:rFonts w:ascii="仿宋_GB2312" w:hAnsi="仿宋_GB2312" w:cs="仿宋_GB2312" w:eastAsia="仿宋_GB2312"/>
              </w:rPr>
              <w:t>根据供应商针对本项目提供的策划方案（包括但不限于线上话题内容创作、开展线下采风活动、短视频精品内容创作及专场直播、拟邀请媒体达人等），策划方案内容紧贴本项目工作要点，主题鲜明，重点突出，思路清晰、理念新颖有创意，完全满足本项目需求每项计3分，本策划方案最高计12分，以上方案中每缺少一项内容扣3分；每有一处内容与实际需求不符或不满足要求或与本项目需求不切合或直接套用其他项目内容的扣0.5-2.5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5.策划方案.docx</w:t>
            </w:r>
          </w:p>
        </w:tc>
      </w:tr>
      <w:tr>
        <w:tc>
          <w:tcPr>
            <w:tcW w:type="dxa" w:w="831"/>
            <w:vMerge/>
          </w:tcPr>
          <w:p/>
        </w:tc>
        <w:tc>
          <w:tcPr>
            <w:tcW w:type="dxa" w:w="1661"/>
          </w:tcPr>
          <w:p>
            <w:pPr>
              <w:pStyle w:val="null3"/>
            </w:pPr>
            <w:r>
              <w:rPr>
                <w:rFonts w:ascii="仿宋_GB2312" w:hAnsi="仿宋_GB2312" w:cs="仿宋_GB2312" w:eastAsia="仿宋_GB2312"/>
              </w:rPr>
              <w:t>拍摄方案</w:t>
            </w:r>
          </w:p>
        </w:tc>
        <w:tc>
          <w:tcPr>
            <w:tcW w:type="dxa" w:w="2492"/>
          </w:tcPr>
          <w:p>
            <w:pPr>
              <w:pStyle w:val="null3"/>
            </w:pPr>
            <w:r>
              <w:rPr>
                <w:rFonts w:ascii="仿宋_GB2312" w:hAnsi="仿宋_GB2312" w:cs="仿宋_GB2312" w:eastAsia="仿宋_GB2312"/>
              </w:rPr>
              <w:t>根据供应商针对本项目所提供的短视频拍摄方案（分镜头剧本，前、后期设备配备，视频拍摄，配音，后期制作及封装等）进行综合评定。方案完整，拍摄主题突出、创意能突出重点，满足采购人需求计7分；方案较完整，视频拍摄主题较突出，基本满足采购人需求，计4分；方案有缺失，拍摄主题不突出，不能完全满足采购人需求计1分，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6.拍摄方案.docx</w:t>
            </w:r>
          </w:p>
        </w:tc>
      </w:tr>
      <w:tr>
        <w:tc>
          <w:tcPr>
            <w:tcW w:type="dxa" w:w="831"/>
            <w:vMerge/>
          </w:tcPr>
          <w:p/>
        </w:tc>
        <w:tc>
          <w:tcPr>
            <w:tcW w:type="dxa" w:w="1661"/>
          </w:tcPr>
          <w:p>
            <w:pPr>
              <w:pStyle w:val="null3"/>
            </w:pPr>
            <w:r>
              <w:rPr>
                <w:rFonts w:ascii="仿宋_GB2312" w:hAnsi="仿宋_GB2312" w:cs="仿宋_GB2312" w:eastAsia="仿宋_GB2312"/>
              </w:rPr>
              <w:t>宣传方案</w:t>
            </w:r>
          </w:p>
        </w:tc>
        <w:tc>
          <w:tcPr>
            <w:tcW w:type="dxa" w:w="2492"/>
          </w:tcPr>
          <w:p>
            <w:pPr>
              <w:pStyle w:val="null3"/>
            </w:pPr>
            <w:r>
              <w:rPr>
                <w:rFonts w:ascii="仿宋_GB2312" w:hAnsi="仿宋_GB2312" w:cs="仿宋_GB2312" w:eastAsia="仿宋_GB2312"/>
              </w:rPr>
              <w:t>根据供应商针对本项目所提供的宣传方案，包括但不限于①宣传平台及渠道②宣传方式及宣传物料③宣传覆盖面，完全满足采购需求并符合本项目实施特点的得9分；以上方案中每缺少一项内容扣3分；每有一处内容与实际需求不符或不满足要求或与本项目需求不切合或直接套用其他项目内容的扣0.5-2.5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7.宣传方案.docx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针对本项目实施过程中人员配置情况（包括采编、制作、运营及策划团队等组成情况）进行评审， 1.项目团队人员岗位职责分工明确、人员结构安排合理、从业经验丰富，可行性强，计10分； 2.项目团队人员职责分工较明确、结构安排基本合理，从业经验较丰富，基本可行，计7分； 3.项目团队人员职责分工及结构安排基本明确，人员有一定的工作经验计4分； 4.项目团队人员职责及安排不合理计1分；5.未提供不计分。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8.人员配备.docx</w:t>
            </w:r>
          </w:p>
        </w:tc>
      </w:tr>
      <w:tr>
        <w:tc>
          <w:tcPr>
            <w:tcW w:type="dxa" w:w="831"/>
            <w:vMerge/>
          </w:tcPr>
          <w:p/>
        </w:tc>
        <w:tc>
          <w:tcPr>
            <w:tcW w:type="dxa" w:w="1661"/>
          </w:tcPr>
          <w:p>
            <w:pPr>
              <w:pStyle w:val="null3"/>
            </w:pPr>
            <w:r>
              <w:rPr>
                <w:rFonts w:ascii="仿宋_GB2312" w:hAnsi="仿宋_GB2312" w:cs="仿宋_GB2312" w:eastAsia="仿宋_GB2312"/>
              </w:rPr>
              <w:t>拟投入设施设备</w:t>
            </w:r>
          </w:p>
        </w:tc>
        <w:tc>
          <w:tcPr>
            <w:tcW w:type="dxa" w:w="2492"/>
          </w:tcPr>
          <w:p>
            <w:pPr>
              <w:pStyle w:val="null3"/>
            </w:pPr>
            <w:r>
              <w:rPr>
                <w:rFonts w:ascii="仿宋_GB2312" w:hAnsi="仿宋_GB2312" w:cs="仿宋_GB2312" w:eastAsia="仿宋_GB2312"/>
              </w:rPr>
              <w:t>根据供应商拟投入的关键设施设备、专业设备等的配备情况。 1.设施设备配备齐全、合理、专业能完全满足需求的计5分; 2.设施设备配备有缺陷、基本满足需求的计3分; 3.投入设施设备不能满足项目需求的计1分；4.未提供本项不计分。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9.拟投入设施设备.docx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提供严格的审片流程、播出的审核流程和机制。按其响应程度进行综合评审。审核流程完整，职责清晰，责任分明，安排合理计7分；审核流程较完整，安排较合理计4分；审核流程不完整，安排不合理计1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10.服务质量保障措施.docx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针对本项目提供的有利于采购人提高服务质量且切实可行的承诺、完善的服务保障措施以及办公场地、主要设备配备情况进行评比，服务承诺完善、切实可行计6分；服务承诺及设施设备较完善，有利于项目实施计3分；服务承诺不完善计1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11.服务承诺.docx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供应商针对项目实施过程中线上及线下突发情况的应急方案，有具体可行的应急措施和解决方案。 1.预案完善可行，措施细致可操作性强，计6分； 2.预案基本完整，具有一定的可操作性和针对性，计5分； 3.预案完善程度一般，措施宽泛可操作性一般，计3分； 4.预案内容不全或内容简单有欠缺，未贴合实际，可操作性不强，计1分； 5.未提供的不计分。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12.应急预案.docx</w:t>
            </w:r>
          </w:p>
        </w:tc>
      </w:tr>
      <w:tr>
        <w:tc>
          <w:tcPr>
            <w:tcW w:type="dxa" w:w="831"/>
            <w:vMerge/>
          </w:tcPr>
          <w:p/>
        </w:tc>
        <w:tc>
          <w:tcPr>
            <w:tcW w:type="dxa" w:w="1661"/>
          </w:tcPr>
          <w:p>
            <w:pPr>
              <w:pStyle w:val="null3"/>
            </w:pPr>
            <w:r>
              <w:rPr>
                <w:rFonts w:ascii="仿宋_GB2312" w:hAnsi="仿宋_GB2312" w:cs="仿宋_GB2312" w:eastAsia="仿宋_GB2312"/>
              </w:rPr>
              <w:t>知识产权承诺</w:t>
            </w:r>
          </w:p>
        </w:tc>
        <w:tc>
          <w:tcPr>
            <w:tcW w:type="dxa" w:w="2492"/>
          </w:tcPr>
          <w:p>
            <w:pPr>
              <w:pStyle w:val="null3"/>
            </w:pPr>
            <w:r>
              <w:rPr>
                <w:rFonts w:ascii="仿宋_GB2312" w:hAnsi="仿宋_GB2312" w:cs="仿宋_GB2312" w:eastAsia="仿宋_GB2312"/>
              </w:rPr>
              <w:t>供应商须承诺作品须为原创，不得抄袭。如作品中含有的非原创性的内容，包括画面、音乐等元素，必须确保无知识产权争议。如有任何侵权行为均由供应商承担相应责任和赔偿。 响应文件中提供以上内容的承诺书得4分，未提供不得分。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13.知识产权承诺.docx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供应商针对本项目提供的宣传平台及途径宣传保障的证明材料，(证明材料加盖供应商鲜章），宣传平台及途径资源丰富，证明材料齐全计5分；宣传途径资源较丰富，证明材料较齐全计3分；宣传途径单一，证明材料不齐全计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14.履约能力.docx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供应商提供2022年01月01日至今（以合同签订时间为准） 类似项目业绩合同或开展类似项目主要佐证材料，每提供一个计2分，最高计10分。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15.供应商业绩一览表.docx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价格分统一采用低价优先法计算，即满足磋商文件要求且磋商价格最低的最终磋商报价为磋商基准价，其价格分为满分。其他供应商的价格分统一按照下列公式计算： 磋商报价得分=(磋商基准价／最终磋商报价)×价格权值×100计算分数时四舍五入取小数点后两位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详见附件：01分项报价表.docx</w:t>
      </w:r>
    </w:p>
    <w:p>
      <w:pPr>
        <w:pStyle w:val="null3"/>
        <w:ind w:firstLine="960"/>
      </w:pPr>
      <w:r>
        <w:rPr>
          <w:rFonts w:ascii="仿宋_GB2312" w:hAnsi="仿宋_GB2312" w:cs="仿宋_GB2312" w:eastAsia="仿宋_GB2312"/>
        </w:rPr>
        <w:t>详见附件：02供应商资格证明资料.docx</w:t>
      </w:r>
    </w:p>
    <w:p>
      <w:pPr>
        <w:pStyle w:val="null3"/>
        <w:ind w:firstLine="960"/>
      </w:pPr>
      <w:r>
        <w:rPr>
          <w:rFonts w:ascii="仿宋_GB2312" w:hAnsi="仿宋_GB2312" w:cs="仿宋_GB2312" w:eastAsia="仿宋_GB2312"/>
        </w:rPr>
        <w:t>详见附件：3.商务和服务响应偏离表.docx</w:t>
      </w:r>
    </w:p>
    <w:p>
      <w:pPr>
        <w:pStyle w:val="null3"/>
        <w:ind w:firstLine="960"/>
      </w:pPr>
      <w:r>
        <w:rPr>
          <w:rFonts w:ascii="仿宋_GB2312" w:hAnsi="仿宋_GB2312" w:cs="仿宋_GB2312" w:eastAsia="仿宋_GB2312"/>
        </w:rPr>
        <w:t>详见附件：4.项目需求理解及分析.docx</w:t>
      </w:r>
    </w:p>
    <w:p>
      <w:pPr>
        <w:pStyle w:val="null3"/>
        <w:ind w:firstLine="960"/>
      </w:pPr>
      <w:r>
        <w:rPr>
          <w:rFonts w:ascii="仿宋_GB2312" w:hAnsi="仿宋_GB2312" w:cs="仿宋_GB2312" w:eastAsia="仿宋_GB2312"/>
        </w:rPr>
        <w:t>详见附件：5.策划方案.docx</w:t>
      </w:r>
    </w:p>
    <w:p>
      <w:pPr>
        <w:pStyle w:val="null3"/>
        <w:ind w:firstLine="960"/>
      </w:pPr>
      <w:r>
        <w:rPr>
          <w:rFonts w:ascii="仿宋_GB2312" w:hAnsi="仿宋_GB2312" w:cs="仿宋_GB2312" w:eastAsia="仿宋_GB2312"/>
        </w:rPr>
        <w:t>详见附件：6.拍摄方案.docx</w:t>
      </w:r>
    </w:p>
    <w:p>
      <w:pPr>
        <w:pStyle w:val="null3"/>
        <w:ind w:firstLine="960"/>
      </w:pPr>
      <w:r>
        <w:rPr>
          <w:rFonts w:ascii="仿宋_GB2312" w:hAnsi="仿宋_GB2312" w:cs="仿宋_GB2312" w:eastAsia="仿宋_GB2312"/>
        </w:rPr>
        <w:t>详见附件：7.宣传方案.docx</w:t>
      </w:r>
    </w:p>
    <w:p>
      <w:pPr>
        <w:pStyle w:val="null3"/>
        <w:ind w:firstLine="960"/>
      </w:pPr>
      <w:r>
        <w:rPr>
          <w:rFonts w:ascii="仿宋_GB2312" w:hAnsi="仿宋_GB2312" w:cs="仿宋_GB2312" w:eastAsia="仿宋_GB2312"/>
        </w:rPr>
        <w:t>详见附件：8.人员配备.docx</w:t>
      </w:r>
    </w:p>
    <w:p>
      <w:pPr>
        <w:pStyle w:val="null3"/>
        <w:ind w:firstLine="960"/>
      </w:pPr>
      <w:r>
        <w:rPr>
          <w:rFonts w:ascii="仿宋_GB2312" w:hAnsi="仿宋_GB2312" w:cs="仿宋_GB2312" w:eastAsia="仿宋_GB2312"/>
        </w:rPr>
        <w:t>详见附件：9.拟投入设施设备.docx</w:t>
      </w:r>
    </w:p>
    <w:p>
      <w:pPr>
        <w:pStyle w:val="null3"/>
        <w:ind w:firstLine="960"/>
      </w:pPr>
      <w:r>
        <w:rPr>
          <w:rFonts w:ascii="仿宋_GB2312" w:hAnsi="仿宋_GB2312" w:cs="仿宋_GB2312" w:eastAsia="仿宋_GB2312"/>
        </w:rPr>
        <w:t>详见附件：10.服务质量保障措施.docx</w:t>
      </w:r>
    </w:p>
    <w:p>
      <w:pPr>
        <w:pStyle w:val="null3"/>
        <w:ind w:firstLine="960"/>
      </w:pPr>
      <w:r>
        <w:rPr>
          <w:rFonts w:ascii="仿宋_GB2312" w:hAnsi="仿宋_GB2312" w:cs="仿宋_GB2312" w:eastAsia="仿宋_GB2312"/>
        </w:rPr>
        <w:t>详见附件：11.服务承诺.docx</w:t>
      </w:r>
    </w:p>
    <w:p>
      <w:pPr>
        <w:pStyle w:val="null3"/>
        <w:ind w:firstLine="960"/>
      </w:pPr>
      <w:r>
        <w:rPr>
          <w:rFonts w:ascii="仿宋_GB2312" w:hAnsi="仿宋_GB2312" w:cs="仿宋_GB2312" w:eastAsia="仿宋_GB2312"/>
        </w:rPr>
        <w:t>详见附件：12.应急预案.docx</w:t>
      </w:r>
    </w:p>
    <w:p>
      <w:pPr>
        <w:pStyle w:val="null3"/>
        <w:ind w:firstLine="960"/>
      </w:pPr>
      <w:r>
        <w:rPr>
          <w:rFonts w:ascii="仿宋_GB2312" w:hAnsi="仿宋_GB2312" w:cs="仿宋_GB2312" w:eastAsia="仿宋_GB2312"/>
        </w:rPr>
        <w:t>详见附件：13.知识产权承诺.docx</w:t>
      </w:r>
    </w:p>
    <w:p>
      <w:pPr>
        <w:pStyle w:val="null3"/>
        <w:ind w:firstLine="960"/>
      </w:pPr>
      <w:r>
        <w:rPr>
          <w:rFonts w:ascii="仿宋_GB2312" w:hAnsi="仿宋_GB2312" w:cs="仿宋_GB2312" w:eastAsia="仿宋_GB2312"/>
        </w:rPr>
        <w:t>详见附件：14.履约能力.docx</w:t>
      </w:r>
    </w:p>
    <w:p>
      <w:pPr>
        <w:pStyle w:val="null3"/>
        <w:ind w:firstLine="960"/>
      </w:pPr>
      <w:r>
        <w:rPr>
          <w:rFonts w:ascii="仿宋_GB2312" w:hAnsi="仿宋_GB2312" w:cs="仿宋_GB2312" w:eastAsia="仿宋_GB2312"/>
        </w:rPr>
        <w:t>详见附件：15.供应商业绩一览表.docx</w:t>
      </w:r>
    </w:p>
    <w:p>
      <w:pPr>
        <w:pStyle w:val="null3"/>
        <w:ind w:firstLine="960"/>
      </w:pPr>
      <w:r>
        <w:rPr>
          <w:rFonts w:ascii="仿宋_GB2312" w:hAnsi="仿宋_GB2312" w:cs="仿宋_GB2312" w:eastAsia="仿宋_GB2312"/>
        </w:rPr>
        <w:t>详见附件：16.供应商承诺书.docx</w:t>
      </w:r>
    </w:p>
    <w:p>
      <w:pPr>
        <w:pStyle w:val="null3"/>
        <w:ind w:firstLine="960"/>
      </w:pPr>
      <w:r>
        <w:rPr>
          <w:rFonts w:ascii="仿宋_GB2312" w:hAnsi="仿宋_GB2312" w:cs="仿宋_GB2312" w:eastAsia="仿宋_GB2312"/>
        </w:rPr>
        <w:t>详见附件：17.供应商认为其他有必要说明的其他问题.docx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详见附件：采购合同模板-全市重点亮点工作宣传推广项目.docx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