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版本号：ZCZX2025-CS-10020250609001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千年一瞬科创长安全媒体传播项目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ZCZX2025-CS-100</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千年一瞬科创长安全媒体传播项目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千年一瞬科创长安全媒体传播项目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围绕我市深化科技创新和产业创新融合发展，紧扣强化企业创新主体地位、推动科技成果转化、营造良好创新生态等方面，运用新技术、赋能新表达，聚焦技术、企业、产业，借助创意短视频、AI短视频、创意海报、专访视频、图文内容产品等进行场景式故事化宣传推广，挖掘西安科创高质量发展背后的故事，以及西安科创政策、人才引育、开发区建设等环境生态优势，全面展现西安科创发展以及具有全球竞争力的开放创新生态，夯实“硬科技之都”城市品牌。项目以优质内容为触点，在主流网媒及其客户端搭建专题页面，聚焦全市科创重点等进行综合内容发布。在主流传播渠道开展个性化订阅推荐服务，增强内容曝光度，提升影响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采购包1（“千年一瞬 科创长安”全媒体传播项目）：属于专门面向中小企业采购。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围绕我市深化科技创新和产业创新融合发展，紧扣强化企业创新主体地位、推动科技成果转化、营造良好创新生态等方面，运用新技术、赋能新表达，聚焦技术、企业、产业，借助创意短视频、AI短视频、创意海报、专访视频、图文内容产品等进行场景式故事化宣传推广，挖掘西安科创高质量发展背后的故事，以及西安科创政策、人才引育、开发区建设等环境生态优势，全面展现西安科创发展以及具有全球竞争力的开放创新生态，夯实“硬科技之都”城市品牌。项目以优质内容为触点，在主流网媒及其客户端搭建专题页面，聚焦全市科创重点等进行综合内容发布。在主流传播渠道开展个性化订阅推荐服务，增强内容曝光度，提升影响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“千年一瞬 科创长安”全媒体传播项目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标的名称：“千年一瞬 科创长安”全媒体传播项目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该项目围绕我市深化科技创新和产业创新融合发展，紧扣强化企业创新主体地位、推动科技成果转化、营造良好创新生态等方面，运用新技术、赋能新表达，聚焦技术、企业、产业，借助创意短视频、AI短视频、创意海报、专访视频、图文内容产品等进行场景式故事化宣传推广，挖掘西安科创高质量发展背后的故事，以及西安科创政策、人才引育、开发区建设等环境生态优势，全面展现西安科创发展以及具有全球竞争力的开放创新生态，夯实“硬科技之都”城市品牌。项目以优质内容为触点，在主流网媒及其客户端搭建专题页面，聚焦全市科创重点等进行综合内容发布。在主流传播渠道开展个性化订阅推荐服务，增强内容曝光度，提升影响力。</w:t>
            </w:r>
          </w:p>
          <w:p>
            <w:pPr>
              <w:pStyle w:val="null3"/>
              <w:jc w:val="both"/>
            </w:pPr>
            <w:r>
              <w:rPr>
                <w:rFonts w:ascii="仿宋_GB2312" w:hAnsi="仿宋_GB2312" w:cs="仿宋_GB2312" w:eastAsia="仿宋_GB2312"/>
                <w:sz w:val="20"/>
              </w:rPr>
              <w:t>二、项目内容</w:t>
            </w:r>
          </w:p>
          <w:p>
            <w:pPr>
              <w:pStyle w:val="null3"/>
              <w:jc w:val="both"/>
            </w:pPr>
            <w:r>
              <w:rPr>
                <w:rFonts w:ascii="仿宋_GB2312" w:hAnsi="仿宋_GB2312" w:cs="仿宋_GB2312" w:eastAsia="仿宋_GB2312"/>
                <w:sz w:val="20"/>
              </w:rPr>
              <w:t>（一）重点主题和传播方式</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聚焦科技创新与产业创新融合发展。围绕“双中心”和秦创原建设成果，组织媒体深入国家先进稀有金属材料技术创新中心、航空产业两链融合示范区、陕西空天动力研究院、西工大未来产业科技园等科创平台、产业园区和研发机构，聚焦航空航天、新材料、新能源等重点产业和超导、智能驾驶、氢能等未来产业，以原创图文内容、创意海报、创意短视频等形式，小切口呈现大主题，多维度讲述西安科创故事。</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聚焦科技成果转化与企业创业能力。围绕我市纵深推进校地深度融合，支持西部科技创新港打造教育科技人才一体化发展示范区，推动科技成果转化“三项改革”拓面提质增效，大力推广“一院一所一校一港一企”成果转化模式，推动一批优秀科技成果在西安转化落地，孵化一批拥有核心技术、具备发展潜力的“种子”企业等方面，聚焦科技型企业，重点宣传推广研发实力和成果转化能力，组织媒体深入隆基绿能、西北有色金属研究院、中国科学院西安光学精密机械研究所、西北工业大学等企业，开展企业家、科学家访谈，借助系列短视频、高端专访等形式，展现成果转化渠道畅通，加快推进“双中心”建设，西安科创步履坚实的高质量发展成效。</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聚焦硬科技发展。借助2025全球硬科技创新大会宣传节点，宣传西安作为硬科技概念原始策源地，持续提升全市科技创新基础研究能力，构建完善“基础研究—技术攻关—成果产业化—科技金融—人才集聚”的全链条创新体系，并围绕城市创新能力实现跃升、企业创新主体持续强化、众多科技成果加速转化、科技机制等方面展开宣传报道，打破“硬科技”生冷硬的刻板印象，借助创意海报、创意短视频等形式生动趣味地呈现西安硬科技的发展图景，让普通受众感受硬科技实力的同时，进一步强化西安“硬科技之都”城市品牌认知。</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全渠道宣发。以优质内容为触点，在主流网媒及其客户端搭建专题页面，聚焦全市科创重点等进行综合内容发布。在主流传播渠道开展个性化订阅推荐服务，增强内容曝光度，提升影响力。立足本地辐射全国，通过精准投放尽可能全面扩大传播范围。</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完成我部临时安排的宣传报道任务。</w:t>
            </w:r>
          </w:p>
          <w:p>
            <w:pPr>
              <w:pStyle w:val="null3"/>
              <w:jc w:val="both"/>
            </w:pPr>
            <w:r>
              <w:rPr>
                <w:rFonts w:ascii="仿宋_GB2312" w:hAnsi="仿宋_GB2312" w:cs="仿宋_GB2312" w:eastAsia="仿宋_GB2312"/>
                <w:sz w:val="20"/>
              </w:rPr>
              <w:t>（二）预期效果</w:t>
            </w:r>
          </w:p>
          <w:p>
            <w:pPr>
              <w:pStyle w:val="null3"/>
              <w:jc w:val="both"/>
            </w:pPr>
            <w:r>
              <w:rPr>
                <w:rFonts w:ascii="仿宋_GB2312" w:hAnsi="仿宋_GB2312" w:cs="仿宋_GB2312" w:eastAsia="仿宋_GB2312"/>
                <w:sz w:val="20"/>
              </w:rPr>
              <w:t>该项目将有力提振西安“科创之城”形象，通过多维度宣传，深入展现西安科创高质量发展的好成果、好故事，以及日新月异的发展足迹，融合呈现西安构筑科技成果转移转化首选地过程中如何支持更多新兴产业、未来产业更好发展，也将科创与城市的内核气质相结合，持续叫响“科创西安”城市IP，夯实“硬科技之都”城市名片。</w:t>
            </w:r>
          </w:p>
          <w:tbl>
            <w:tblPr>
              <w:tblBorders>
                <w:top w:val="none" w:color="000000" w:sz="4"/>
                <w:left w:val="none" w:color="000000" w:sz="4"/>
                <w:bottom w:val="none" w:color="000000" w:sz="4"/>
                <w:right w:val="none" w:color="000000" w:sz="4"/>
                <w:insideH w:val="none"/>
                <w:insideV w:val="none"/>
              </w:tblBorders>
            </w:tblPr>
            <w:tblGrid>
              <w:gridCol w:w="375"/>
              <w:gridCol w:w="898"/>
              <w:gridCol w:w="1280"/>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项目</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主要内容</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原创</w:t>
                  </w:r>
                  <w:r>
                    <w:rPr>
                      <w:rFonts w:ascii="仿宋_GB2312" w:hAnsi="仿宋_GB2312" w:cs="仿宋_GB2312" w:eastAsia="仿宋_GB2312"/>
                      <w:sz w:val="20"/>
                    </w:rPr>
                    <w:t>图文内容</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原创图文内容4篇，含策划、采写、线下活动等。</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创意海报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原创海报6期，含创意策划、美术设计制作等。</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创意短视频</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创意短视频1期、AIGC短视频1期，系列短视频2个，含策划、拍摄制作等。</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视频访谈节目</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专访专家、企业家等视频2期，含统筹策划、拍摄、制作等。</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宣传推广渠道</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主流网媒及客户端文链8条</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898"/>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主流网媒及客户端信息流6次</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898"/>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订制专题页面</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自合同签订之日起180天内完成服务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合同签订后，乙方开具等额增值税发票，甲方验票无误后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成交供应商领取通知书时提供纸质响应文件2份。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2、提供会计师事务所出具的2023年度或2024年度审计报告（须赋验证码），或递交响应文件截止之日前六个月内银行开具的资信证明，或信用担保机构出具的担保函（以上三种形式的资料提供任何一种即可）；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提供会计师事务所出具的2023年度或2024年度审计报告（须赋验证码），或递交响应文件截止之日前六个月内银行开具的资信证明，或信用担保机构出具的担保函（以上三种形式的资料提供任何一种即可）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1、供应商对本项目的工作内容理解分析清晰、全面，按其响应程度计0～5分。 2、提供项目整体实施方案，方案内容全面，涵盖项目要求，按其响应程度计0～5分。 3、提供全媒体传播原创图文创作理念，理念独特，满足宣传需求，按其响应程度计0～5分。 4、提供全媒体传播海报创意思路，思路新颖，满足宣传需求，按其响应程度计0～5分。 5、提供全媒体传播短视频拍摄方案，方案完整、合理，按其响应程度计0～5分。 6、提供全媒体传播访谈节目制作方案，方案可实施性强，满足项目要求，按其响应程度计0～5分。 7、提供宣传推广渠道，渠道属于主流网媒，能够满足项目推广要求，按其响应程度计0～5分。 8、制定严格的内容发布、审核流程，项目实施进度安排具体、合理，按其响应程度计0～5分。 9、提供能够处理各类紧急事项的措施，保证服务顺利实施，按其响应程度计0～5分。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1、项目相关专业策划人员配置评审，提供工作人员简历，按其响应程度计0～5分。 2、项目编辑人员、文案人员配置评审，提供工作人员简历，按其响应程度计0～5分。 3、项目视频拍摄、剪辑人员配置评审，提供工作人员简历，按其响应程度计0～5分。 4、本项目配备的各岗位人员具有同类项目经验，提供相关证明材料，按其响应程度计0～5分。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1、服务人员与采购人能有良好工作配合的承诺，按其响应程度计0～5分。 2、供应商提供切实可行的保密措施及承诺，对其所获取的信息保密，按其响应程度计0～5分。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设备保障</w:t>
            </w:r>
          </w:p>
        </w:tc>
        <w:tc>
          <w:tcPr>
            <w:tcW w:type="dxa" w:w="2492"/>
          </w:tcPr>
          <w:p>
            <w:pPr>
              <w:pStyle w:val="null3"/>
            </w:pPr>
            <w:r>
              <w:rPr>
                <w:rFonts w:ascii="仿宋_GB2312" w:hAnsi="仿宋_GB2312" w:cs="仿宋_GB2312" w:eastAsia="仿宋_GB2312"/>
              </w:rPr>
              <w:t>提供本项目服务过程所需的设备保障方案，包含设备来源、设备型号、设备种类、设备数量等，按其响应程度计0～5分。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供应商提供近三年（2022年1月1日至今）同类项目业绩，磋商文件中附有其业绩证明材料，业绩以合同或中标（成交）通知书为依据，每提供一个计2分，满分10分。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详见附件：采购文件合同草案条款-上传版.docx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