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版本号：HXGJXM2025--ZC-CS107320250710001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辛家庙校区崇德楼润德楼修缮项目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HXGJXM2025--ZC-CS1073</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辛家庙校区崇德楼润德楼修缮项目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HXGJXM2025--ZC-CS1073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辛家庙校区崇德楼润德楼修缮项目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职业技术学院辛家庙校区，崇德楼、润德楼各为两层，一层为空置门面房，二层为教职工办公场所，两栋楼宇年久失修，且空间未能充分利用，功能区域设置不合理。为改善校区环境，现急需对崇德楼润德楼进行修缮及并对配套设施进行改造，提升辛家庙校区整体形象，同时利于招生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采购包1（辛家庙校区崇德楼润德楼修缮项目）：属于专门面向中小企业采购。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被授权人提供投标截止日前一年内已缴存的至少一个月的社会保险参保缴费证明）（法定代表人直接参加磋商，须提供法定代表人身份证明）</w:t>
      </w:r>
    </w:p>
    <w:p>
      <w:pPr>
        <w:pStyle w:val="null3"/>
      </w:pPr>
      <w:r>
        <w:rPr>
          <w:rFonts w:ascii="仿宋_GB2312" w:hAnsi="仿宋_GB2312" w:cs="仿宋_GB2312" w:eastAsia="仿宋_GB2312"/>
        </w:rPr>
        <w:t>2、单位资质：供应商应具备建设行政主管部门核发的房屋建筑工程施工总承包三级及以上资质，具有有效的安全生产许可证；</w:t>
      </w:r>
    </w:p>
    <w:p>
      <w:pPr>
        <w:pStyle w:val="null3"/>
      </w:pPr>
      <w:r>
        <w:rPr>
          <w:rFonts w:ascii="仿宋_GB2312" w:hAnsi="仿宋_GB2312" w:cs="仿宋_GB2312" w:eastAsia="仿宋_GB2312"/>
        </w:rPr>
        <w:t>3、项目负责人：项目负责人需具备建筑工程专业二级及以上注册建造师执业资格和有效的安全生产考核证书（B证）在本单位注册，且无在建工程、无不良记录（提供无在建工程、无不良记录承诺书）；</w:t>
      </w:r>
    </w:p>
    <w:p>
      <w:pPr>
        <w:pStyle w:val="null3"/>
      </w:pPr>
      <w:r>
        <w:rPr>
          <w:rFonts w:ascii="仿宋_GB2312" w:hAnsi="仿宋_GB2312" w:cs="仿宋_GB2312" w:eastAsia="仿宋_GB2312"/>
        </w:rPr>
        <w:t>4、信用信息：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029-86705001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丁杰、康敏茹、王强、张艳萍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采购包1：2,106,294.85元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办公厅关于采购代理服务收费有关问题的通知》(发改办价格[2003]857号)、原国家计委关于《采购代理服务收费管理暂行办法》(计价格[2002]1980号)及发改办[2011]534号文规定的收费标准收取。 招标代理服务费账户：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联系人：丁杰、康敏茹、王强、张艳萍</w:t>
      </w:r>
    </w:p>
    <w:p>
      <w:pPr>
        <w:pStyle w:val="null3"/>
      </w:pPr>
      <w:r>
        <w:rPr>
          <w:rFonts w:ascii="仿宋_GB2312" w:hAnsi="仿宋_GB2312" w:cs="仿宋_GB2312" w:eastAsia="仿宋_GB2312"/>
        </w:rPr>
        <w:t>联系电话：029-88899970/72/73/75-862</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2,106,294.85</w:t>
      </w:r>
    </w:p>
    <w:p>
      <w:pPr>
        <w:pStyle w:val="null3"/>
      </w:pPr>
      <w:r>
        <w:rPr>
          <w:rFonts w:ascii="仿宋_GB2312" w:hAnsi="仿宋_GB2312" w:cs="仿宋_GB2312" w:eastAsia="仿宋_GB2312"/>
        </w:rPr>
        <w:t>采购包最高限价（元）: 2,106,294.85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辛家庙校区崇德楼润德楼修缮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2,106,294.85</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标的名称：辛家庙校区崇德楼润德楼修缮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7"/>
              <w:gridCol w:w="480"/>
              <w:gridCol w:w="1816"/>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改造项目</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内容</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崇德楼</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1.依据现有情况改造图书馆1个、阅览室1个；</w:t>
                  </w:r>
                </w:p>
                <w:p>
                  <w:pPr>
                    <w:pStyle w:val="null3"/>
                    <w:jc w:val="both"/>
                  </w:pPr>
                  <w:r>
                    <w:rPr>
                      <w:rFonts w:ascii="仿宋_GB2312" w:hAnsi="仿宋_GB2312" w:cs="仿宋_GB2312" w:eastAsia="仿宋_GB2312"/>
                      <w:sz w:val="18"/>
                      <w:color w:val="000000"/>
                    </w:rPr>
                    <w:t>2.依据现有情况改造男厕、女厕各1各；</w:t>
                  </w:r>
                </w:p>
                <w:p>
                  <w:pPr>
                    <w:pStyle w:val="null3"/>
                    <w:jc w:val="left"/>
                  </w:pPr>
                  <w:r>
                    <w:rPr>
                      <w:rFonts w:ascii="仿宋_GB2312" w:hAnsi="仿宋_GB2312" w:cs="仿宋_GB2312" w:eastAsia="仿宋_GB2312"/>
                      <w:sz w:val="18"/>
                      <w:color w:val="000000"/>
                    </w:rPr>
                    <w:t>3.沿街外墙拆除、重建；</w:t>
                  </w:r>
                </w:p>
                <w:p>
                  <w:pPr>
                    <w:pStyle w:val="null3"/>
                    <w:jc w:val="both"/>
                  </w:pPr>
                  <w:r>
                    <w:rPr>
                      <w:rFonts w:ascii="仿宋_GB2312" w:hAnsi="仿宋_GB2312" w:cs="仿宋_GB2312" w:eastAsia="仿宋_GB2312"/>
                      <w:sz w:val="18"/>
                      <w:color w:val="000000"/>
                    </w:rPr>
                    <w:t>4.一层内砌体部分拆除并重建；</w:t>
                  </w:r>
                </w:p>
                <w:p>
                  <w:pPr>
                    <w:pStyle w:val="null3"/>
                    <w:jc w:val="left"/>
                  </w:pPr>
                  <w:r>
                    <w:rPr>
                      <w:rFonts w:ascii="仿宋_GB2312" w:hAnsi="仿宋_GB2312" w:cs="仿宋_GB2312" w:eastAsia="仿宋_GB2312"/>
                      <w:sz w:val="18"/>
                      <w:color w:val="000000"/>
                    </w:rPr>
                    <w:t>5.一层商铺内隔墙拆除；</w:t>
                  </w:r>
                </w:p>
                <w:p>
                  <w:pPr>
                    <w:pStyle w:val="null3"/>
                    <w:jc w:val="both"/>
                  </w:pPr>
                  <w:r>
                    <w:rPr>
                      <w:rFonts w:ascii="仿宋_GB2312" w:hAnsi="仿宋_GB2312" w:cs="仿宋_GB2312" w:eastAsia="仿宋_GB2312"/>
                      <w:sz w:val="18"/>
                      <w:color w:val="000000"/>
                    </w:rPr>
                    <w:t>6.新做一层沿街及内部门窗，更换二层沿街外窗；</w:t>
                  </w:r>
                </w:p>
                <w:p>
                  <w:pPr>
                    <w:pStyle w:val="null3"/>
                    <w:jc w:val="left"/>
                  </w:pPr>
                  <w:r>
                    <w:rPr>
                      <w:rFonts w:ascii="仿宋_GB2312" w:hAnsi="仿宋_GB2312" w:cs="仿宋_GB2312" w:eastAsia="仿宋_GB2312"/>
                      <w:sz w:val="18"/>
                      <w:color w:val="000000"/>
                    </w:rPr>
                    <w:t>7.安装满足功能要求的水暖电设备设施；</w:t>
                  </w:r>
                </w:p>
                <w:p>
                  <w:pPr>
                    <w:pStyle w:val="null3"/>
                    <w:jc w:val="both"/>
                  </w:pPr>
                  <w:r>
                    <w:rPr>
                      <w:rFonts w:ascii="仿宋_GB2312" w:hAnsi="仿宋_GB2312" w:cs="仿宋_GB2312" w:eastAsia="仿宋_GB2312"/>
                      <w:sz w:val="18"/>
                      <w:color w:val="000000"/>
                    </w:rPr>
                    <w:t>8.统一二层走廊楼面标高，并封闭二层走廊；</w:t>
                  </w:r>
                </w:p>
                <w:p>
                  <w:pPr>
                    <w:pStyle w:val="null3"/>
                    <w:jc w:val="left"/>
                  </w:pPr>
                  <w:r>
                    <w:rPr>
                      <w:rFonts w:ascii="仿宋_GB2312" w:hAnsi="仿宋_GB2312" w:cs="仿宋_GB2312" w:eastAsia="仿宋_GB2312"/>
                      <w:sz w:val="18"/>
                      <w:color w:val="000000"/>
                    </w:rPr>
                    <w:t>9.按照目前大门外墙饰面做法、材质，进行内外墙面改造；</w:t>
                  </w:r>
                </w:p>
                <w:p>
                  <w:pPr>
                    <w:pStyle w:val="null3"/>
                    <w:jc w:val="both"/>
                  </w:pPr>
                  <w:r>
                    <w:rPr>
                      <w:rFonts w:ascii="仿宋_GB2312" w:hAnsi="仿宋_GB2312" w:cs="仿宋_GB2312" w:eastAsia="仿宋_GB2312"/>
                      <w:sz w:val="18"/>
                      <w:color w:val="000000"/>
                    </w:rPr>
                    <w:t>10.一层北侧新做轻钢玻璃雨棚及局部防水；</w:t>
                  </w:r>
                </w:p>
                <w:p>
                  <w:pPr>
                    <w:pStyle w:val="null3"/>
                    <w:jc w:val="left"/>
                  </w:pPr>
                  <w:r>
                    <w:rPr>
                      <w:rFonts w:ascii="仿宋_GB2312" w:hAnsi="仿宋_GB2312" w:cs="仿宋_GB2312" w:eastAsia="仿宋_GB2312"/>
                      <w:sz w:val="18"/>
                      <w:color w:val="000000"/>
                    </w:rPr>
                    <w:t>11.一层北侧地面整修及绿化移植；</w:t>
                  </w:r>
                </w:p>
                <w:p>
                  <w:pPr>
                    <w:pStyle w:val="null3"/>
                    <w:jc w:val="both"/>
                  </w:pPr>
                  <w:r>
                    <w:rPr>
                      <w:rFonts w:ascii="仿宋_GB2312" w:hAnsi="仿宋_GB2312" w:cs="仿宋_GB2312" w:eastAsia="仿宋_GB2312"/>
                      <w:sz w:val="18"/>
                      <w:color w:val="000000"/>
                    </w:rPr>
                    <w:t>12.文化氛围营造及空调配置；</w:t>
                  </w:r>
                </w:p>
                <w:p>
                  <w:pPr>
                    <w:pStyle w:val="null3"/>
                    <w:jc w:val="left"/>
                  </w:pPr>
                  <w:r>
                    <w:rPr>
                      <w:rFonts w:ascii="仿宋_GB2312" w:hAnsi="仿宋_GB2312" w:cs="仿宋_GB2312" w:eastAsia="仿宋_GB2312"/>
                      <w:sz w:val="18"/>
                      <w:color w:val="000000"/>
                    </w:rPr>
                    <w:t>13.监控系统安装并对接校区监控系统；</w:t>
                  </w:r>
                </w:p>
                <w:p>
                  <w:pPr>
                    <w:pStyle w:val="null3"/>
                    <w:jc w:val="both"/>
                  </w:pPr>
                  <w:r>
                    <w:rPr>
                      <w:rFonts w:ascii="仿宋_GB2312" w:hAnsi="仿宋_GB2312" w:cs="仿宋_GB2312" w:eastAsia="仿宋_GB2312"/>
                      <w:sz w:val="18"/>
                      <w:color w:val="000000"/>
                    </w:rPr>
                    <w:t>14.整修洗手池1个。</w:t>
                  </w:r>
                </w:p>
                <w:p>
                  <w:pPr>
                    <w:pStyle w:val="null3"/>
                    <w:jc w:val="both"/>
                  </w:pPr>
                  <w:r>
                    <w:rPr>
                      <w:rFonts w:ascii="仿宋_GB2312" w:hAnsi="仿宋_GB2312" w:cs="仿宋_GB2312" w:eastAsia="仿宋_GB2312"/>
                      <w:sz w:val="18"/>
                      <w:color w:val="000000"/>
                    </w:rPr>
                    <w:t>15.图书馆书架2个、阅览室书桌6套、书桌灯50套。</w:t>
                  </w:r>
                </w:p>
                <w:p>
                  <w:pPr>
                    <w:pStyle w:val="null3"/>
                    <w:jc w:val="left"/>
                  </w:pPr>
                  <w:r>
                    <w:rPr>
                      <w:rFonts w:ascii="仿宋_GB2312" w:hAnsi="仿宋_GB2312" w:cs="仿宋_GB2312" w:eastAsia="仿宋_GB2312"/>
                      <w:sz w:val="18"/>
                      <w:color w:val="000000"/>
                    </w:rPr>
                    <w:t>16.线缆、空调挪移。</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润德楼</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1.依据现有情况改造校企合作洽谈室1个、样板支部书记工作室1个、教师教研中心1个、学生一站式服务中心1个、教职工活动中心1个；</w:t>
                  </w:r>
                </w:p>
                <w:p>
                  <w:pPr>
                    <w:pStyle w:val="null3"/>
                    <w:jc w:val="left"/>
                  </w:pPr>
                  <w:r>
                    <w:rPr>
                      <w:rFonts w:ascii="仿宋_GB2312" w:hAnsi="仿宋_GB2312" w:cs="仿宋_GB2312" w:eastAsia="仿宋_GB2312"/>
                      <w:sz w:val="18"/>
                      <w:color w:val="000000"/>
                    </w:rPr>
                    <w:t>2.依据现有情况改造男厕、女厕各1各；</w:t>
                  </w:r>
                </w:p>
                <w:p>
                  <w:pPr>
                    <w:pStyle w:val="null3"/>
                    <w:jc w:val="left"/>
                  </w:pPr>
                  <w:r>
                    <w:rPr>
                      <w:rFonts w:ascii="仿宋_GB2312" w:hAnsi="仿宋_GB2312" w:cs="仿宋_GB2312" w:eastAsia="仿宋_GB2312"/>
                      <w:sz w:val="18"/>
                      <w:color w:val="000000"/>
                    </w:rPr>
                    <w:t>3.沿街外墙拆除、重建；</w:t>
                  </w:r>
                </w:p>
                <w:p>
                  <w:pPr>
                    <w:pStyle w:val="null3"/>
                    <w:jc w:val="left"/>
                  </w:pPr>
                  <w:r>
                    <w:rPr>
                      <w:rFonts w:ascii="仿宋_GB2312" w:hAnsi="仿宋_GB2312" w:cs="仿宋_GB2312" w:eastAsia="仿宋_GB2312"/>
                      <w:sz w:val="18"/>
                      <w:color w:val="000000"/>
                    </w:rPr>
                    <w:t>4.一层商铺内隔墙拆除；</w:t>
                  </w:r>
                </w:p>
                <w:p>
                  <w:pPr>
                    <w:pStyle w:val="null3"/>
                    <w:jc w:val="both"/>
                  </w:pPr>
                  <w:r>
                    <w:rPr>
                      <w:rFonts w:ascii="仿宋_GB2312" w:hAnsi="仿宋_GB2312" w:cs="仿宋_GB2312" w:eastAsia="仿宋_GB2312"/>
                      <w:sz w:val="18"/>
                      <w:color w:val="000000"/>
                    </w:rPr>
                    <w:t>5.新做一层沿街及内部门窗，更换二层沿街外窗；</w:t>
                  </w:r>
                </w:p>
                <w:p>
                  <w:pPr>
                    <w:pStyle w:val="null3"/>
                    <w:jc w:val="left"/>
                  </w:pPr>
                  <w:r>
                    <w:rPr>
                      <w:rFonts w:ascii="仿宋_GB2312" w:hAnsi="仿宋_GB2312" w:cs="仿宋_GB2312" w:eastAsia="仿宋_GB2312"/>
                      <w:sz w:val="18"/>
                      <w:color w:val="000000"/>
                    </w:rPr>
                    <w:t>6.安装满足功能要求的水暖电设备设施；</w:t>
                  </w:r>
                </w:p>
                <w:p>
                  <w:pPr>
                    <w:pStyle w:val="null3"/>
                    <w:jc w:val="both"/>
                  </w:pPr>
                  <w:r>
                    <w:rPr>
                      <w:rFonts w:ascii="仿宋_GB2312" w:hAnsi="仿宋_GB2312" w:cs="仿宋_GB2312" w:eastAsia="仿宋_GB2312"/>
                      <w:sz w:val="18"/>
                      <w:color w:val="000000"/>
                    </w:rPr>
                    <w:t>7.统一二层走廊楼面标高，并封闭二层走廊；</w:t>
                  </w:r>
                </w:p>
                <w:p>
                  <w:pPr>
                    <w:pStyle w:val="null3"/>
                    <w:jc w:val="left"/>
                  </w:pPr>
                  <w:r>
                    <w:rPr>
                      <w:rFonts w:ascii="仿宋_GB2312" w:hAnsi="仿宋_GB2312" w:cs="仿宋_GB2312" w:eastAsia="仿宋_GB2312"/>
                      <w:sz w:val="18"/>
                      <w:color w:val="000000"/>
                    </w:rPr>
                    <w:t>8.按照目前大门外墙饰面做法、材质，进行内外墙面改造；</w:t>
                  </w:r>
                </w:p>
                <w:p>
                  <w:pPr>
                    <w:pStyle w:val="null3"/>
                    <w:jc w:val="both"/>
                  </w:pPr>
                  <w:r>
                    <w:rPr>
                      <w:rFonts w:ascii="仿宋_GB2312" w:hAnsi="仿宋_GB2312" w:cs="仿宋_GB2312" w:eastAsia="仿宋_GB2312"/>
                      <w:sz w:val="18"/>
                      <w:color w:val="000000"/>
                    </w:rPr>
                    <w:t>9.一层北侧新做轻钢玻璃雨棚及局部防水；</w:t>
                  </w:r>
                </w:p>
                <w:p>
                  <w:pPr>
                    <w:pStyle w:val="null3"/>
                    <w:jc w:val="left"/>
                  </w:pPr>
                  <w:r>
                    <w:rPr>
                      <w:rFonts w:ascii="仿宋_GB2312" w:hAnsi="仿宋_GB2312" w:cs="仿宋_GB2312" w:eastAsia="仿宋_GB2312"/>
                      <w:sz w:val="18"/>
                      <w:color w:val="000000"/>
                    </w:rPr>
                    <w:t>10.一层北侧地面整修及绿化移植；</w:t>
                  </w:r>
                </w:p>
                <w:p>
                  <w:pPr>
                    <w:pStyle w:val="null3"/>
                    <w:jc w:val="both"/>
                  </w:pPr>
                  <w:r>
                    <w:rPr>
                      <w:rFonts w:ascii="仿宋_GB2312" w:hAnsi="仿宋_GB2312" w:cs="仿宋_GB2312" w:eastAsia="仿宋_GB2312"/>
                      <w:sz w:val="18"/>
                      <w:color w:val="000000"/>
                    </w:rPr>
                    <w:t>11.文化氛围营造及空调配置；</w:t>
                  </w:r>
                </w:p>
                <w:p>
                  <w:pPr>
                    <w:pStyle w:val="null3"/>
                    <w:jc w:val="left"/>
                  </w:pPr>
                  <w:r>
                    <w:rPr>
                      <w:rFonts w:ascii="仿宋_GB2312" w:hAnsi="仿宋_GB2312" w:cs="仿宋_GB2312" w:eastAsia="仿宋_GB2312"/>
                      <w:sz w:val="18"/>
                      <w:color w:val="000000"/>
                    </w:rPr>
                    <w:t>12.办公座椅配置及会议一体机4台（含可移动支架）；</w:t>
                  </w:r>
                </w:p>
                <w:p>
                  <w:pPr>
                    <w:pStyle w:val="null3"/>
                    <w:jc w:val="both"/>
                  </w:pPr>
                  <w:r>
                    <w:rPr>
                      <w:rFonts w:ascii="仿宋_GB2312" w:hAnsi="仿宋_GB2312" w:cs="仿宋_GB2312" w:eastAsia="仿宋_GB2312"/>
                      <w:sz w:val="18"/>
                      <w:color w:val="000000"/>
                    </w:rPr>
                    <w:t>13.拆除原洗手池，并新建1个。</w:t>
                  </w:r>
                </w:p>
                <w:p>
                  <w:pPr>
                    <w:pStyle w:val="null3"/>
                    <w:jc w:val="left"/>
                  </w:pPr>
                  <w:r>
                    <w:rPr>
                      <w:rFonts w:ascii="仿宋_GB2312" w:hAnsi="仿宋_GB2312" w:cs="仿宋_GB2312" w:eastAsia="仿宋_GB2312"/>
                      <w:sz w:val="18"/>
                      <w:color w:val="000000"/>
                    </w:rPr>
                    <w:t>14.线缆、空调挪移。</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依据现行的国家标准或国家行政部门颁布的法律法规、规章制度作为项目验收的重要依据。没有国家标准的，可以参考行业标准。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3.1施工工期 采购包1：40日历日。 3.2建设地点 采购包1：辛家庙校区。 3.3支付方式 采购包1： 分期付款 3.4支付约定 采购包1： 付款条件说明：（1）签订施工合同后，成交供应商提供给采购人相应金额发票，按照计划工期开始施工；（2）采购人收到发票后15个工作日内支付成交供应商合同价40%作为工程预付款;（3）工程竣工验收合格后，成交供应商报送结算资料，结算资料经审定后15个工作日内支付至最终决算价。 3.5验收标准和方法 采购包1：依据现行的国家标准或国家行政部门颁布的法律法规、规章制度作为项目验收的重要依据。没有国家标准的，可以参考行业标准。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（一）计划工期： 40日历日。 （二）缺陷责任期： 自竣工验收合格之日起满两年。 （三）质量保修期： 自竣工验收合格之日起满三年。 （四）计价依据 （1）《陕西省建设工程工程量清单计价规则》(2009)，《陕西省建筑装饰安装工程消耗量定额》及补充定额，《陕西省安装工程价目表》(2009)，《陕西省建筑工程价目表》(2009)，《全统修缮定额安装工程陕西省价目表》(2001)； （2）建设工程扬尘治理专项措施费按照陕建发［2017] 270 号《关于增加建设工程扬尘治理专项措施费及综合人工单价调整 的通知》； （3）陕建发[2021]1097号《关于调整房屋建筑和市政基础设施工程工程量清单计价综合人工单价的通知》； （4）综合系数、税金按照陕建发［2019］45号《关于调整陕西省建设工程计价依据的通知》； （5）安全文明施工措施费按照陕建发［2019］1246号《关于发布我省落实建筑工人实名制管理计价依据的通知》； （6）陕建发[2020]1097号文件《关于增加建筑施工安全生产责任保险的通知》； （7）陕建发(2021) 1021号文件《关于全省统一停止收缴建筑业劳保费用的通知》； （五）施工要求： （1）遵守国家相关法律、法规，遵守国家相关技术规范。 （2）所选材料必须保证质量可靠、进货渠道正常，符合国家环保等相关标准，满足施工要求。 （3）工程质量符合国家有关规范，确保达到合格。 （4）该工程项目质量保修期按有关文件规定执行。 （5）遵守有关施工规范和安全操作规程，采取有效的安全保障措施，确保施工安全，包括悬挂警示标牌、装设围栏、配备安全人员等，并承担事故的全部费用和责任。 （6）施工单位必须服从当地对治安、卫生、环保、社会保险等工程建设的统一管理，并按有关规定交纳费用以及因违反相关规定而造成的罚款。 （7）本工程不允许转包。 （8）爱护采购方设施设备，不能为施工方便未经甲方书面同意损坏采购方设施设备。 （9）供应商自行办理垃圾清理手续，遵守当地政府垃圾分类处理有关规定，承担自行处置不当导致的全部费用和责任。 （六）商务要求 （1）合同价款：据实结算，单价按合同规定的固定单价。 （2）结算方式：签订施工合同后，成交供应商提供给采购人相应金额发票，按照计划工期开始施工；采购人收到发票后15个工作日内支付成交供应商合同价40%作为工程预付款;工程竣工验收合格后，成交供应商报送结算资料，结算资料经审定后15个工作日内支付至最终决算价。 （3）漏项处理：施工过程中发现工程量清单中存在漏项工程的，该漏项工程作为本项目采购的组成部分，采购人和供应商可以按照《中华人民共和国政府采购法》的规定协商解决。 （七）其他 （1）质量验收标准或规范 1.1.国家现行有关法律、法规、环保和技术指标； 1.2.本项目施工合同； 1.3.经批准的设计文件及工程变更文件； 1.4.有关部政府部门的规定。 （2）违约责任 2.1.按《政府采购法》、《合同法》中的相关条款执行。 2.2.未按要求提供货物、质量、环保标准不能满足技术要求的，施工方必须无条件更换，否则，采购单位有权终止合同，并对施工方的违约行为报监管机构进行相应的处罚。 2.3.施工方不能按期交工的，每逾期一日应向项目单位支付合同总价款2%的违约金，给采购单位造成损失的，应予以赔偿。 （3）与本工程相关的特别说明 本项目包工、包料、包工期、包质量、包安全、包调试、包垃圾外运、包文明施工，成交供应商要结合工程情况合理报价，按照采购方要求施工。 （八）暂列金或暂估价：人民币100000.00元（大写：人民币壹拾万元整）。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供应商需在项目电子化交易系统中按要求填写《投标函》完成承诺并提供以下资料：1.提供合格有效的法人或者其他组织的营业执照等证明文件，自然人的身份证明；供应商是法人或其他组织的应提供营业 执照等证明文件，供应商是自然人的应提供有效的自然人身份证明；2.财务状况证明：提供2023 或2024年度经审计的已赋码且完整的财务报告；（成立时间至递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其它资料.docx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 或2024年度经审计的已赋码且完整的财务报告；（成立时间至递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其它资料.docx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其它资料.docx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法定代表人授权书（附法定代表人、被授权人身份证复印件，被授权人提供投标截止日前一年内已缴存的至少一个月的社会保险参保缴费证明）（法定代表人直接参加磋商，须提供法定代表人身份证明）</w:t>
            </w:r>
          </w:p>
        </w:tc>
        <w:tc>
          <w:tcPr>
            <w:tcW w:type="dxa" w:w="1661"/>
          </w:tcPr>
          <w:p>
            <w:pPr>
              <w:pStyle w:val="null3"/>
            </w:pPr>
            <w:r>
              <w:rPr>
                <w:rFonts w:ascii="仿宋_GB2312" w:hAnsi="仿宋_GB2312" w:cs="仿宋_GB2312" w:eastAsia="仿宋_GB2312"/>
              </w:rPr>
              <w:t>其它资料.docx 承诺书.docx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单位资质</w:t>
            </w:r>
          </w:p>
        </w:tc>
        <w:tc>
          <w:tcPr>
            <w:tcW w:type="dxa" w:w="3322"/>
          </w:tcPr>
          <w:p>
            <w:pPr>
              <w:pStyle w:val="null3"/>
            </w:pPr>
            <w:r>
              <w:rPr>
                <w:rFonts w:ascii="仿宋_GB2312" w:hAnsi="仿宋_GB2312" w:cs="仿宋_GB2312" w:eastAsia="仿宋_GB2312"/>
              </w:rPr>
              <w:t>供应商应具备建设行政主管部门核发的房屋建筑工程施工总承包三级及以上资质，具有有效的安全生产许可证；</w:t>
            </w:r>
          </w:p>
        </w:tc>
        <w:tc>
          <w:tcPr>
            <w:tcW w:type="dxa" w:w="1661"/>
          </w:tcPr>
          <w:p>
            <w:pPr>
              <w:pStyle w:val="null3"/>
            </w:pPr>
            <w:r>
              <w:rPr>
                <w:rFonts w:ascii="仿宋_GB2312" w:hAnsi="仿宋_GB2312" w:cs="仿宋_GB2312" w:eastAsia="仿宋_GB2312"/>
              </w:rPr>
              <w:t>承诺书.docx 其它资料.docx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项目负责人需具备建筑工程专业二级及以上注册建造师执业资格和有效的安全生产考核证书（B证）在本单位注册，且无在建工程、无不良记录（提供无在建工程、无不良记录承诺书）；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项目管理机构组成表 承诺书.docx 其它资料.docx 响应函 资格证明文件.docx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磋商方案说明.docx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磋商方案说明.docx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磋商方案说明.docx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报价一览表.docx 已标价工程量清单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磋商方案说明.docx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报价一览表.docx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报价一览表.docx 磋商方案说明.docx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磋商方案说明.docx 项目管理机构组成表 残疾人福利性单位声明函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1、实施方案非常详细并且完整可行、有针对性，完全满足项目实施的得15分； 2、实施方案详细、完整，可行、有针对性，满足项目实施的得12分； 3、实施方案比较详细完整、可行，较利于项目实施的得7分； 4、实施方案基本可行，基本满足项目实施需要的得4分; 5、实施方案无可行性，无法满足项目实施需要的得1分;6、未提供得0分。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针对本项目提供的安全作业方案及安全配套措施进行综合评审。 1、提供的安全作业方案及安全配套措施具体、详细，完全符合并优于采购人安全作业的要求，得8分； 2、提供安全作业方案及安全配套措施较详细、较完整，符合采购人安全作业的要求，得5分； 3、提供安全作业方案及安全配套措施基本合理可行，符合采购人安全作业的要求，得3分； 4、提供的安全作业方案及安全配套措施简单，基本符合采购人安全作业的要求，得1分。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其它资料.docx</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1、措施计划齐全、合理且切实可行，完全满足采购人需求得5分； 2、措施计划较齐全、合理、切实可行，满足采购人需求得3分； 3、措施计划较齐全、合理、基本可行，基本满足采购人需求得2分； 4、措施计划基本完备齐全、合理性、可行性较差，得1分； 5、未提供得0分。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以上内容专门针对本项目且符合本项目实际需求的得 10分，每缺一项内容扣 2 分，若上述内容存在瑕疵，每存在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配备分工及配合协调措施</w:t>
            </w:r>
          </w:p>
        </w:tc>
        <w:tc>
          <w:tcPr>
            <w:tcW w:type="dxa" w:w="2492"/>
          </w:tcPr>
          <w:p>
            <w:pPr>
              <w:pStyle w:val="null3"/>
            </w:pPr>
            <w:r>
              <w:rPr>
                <w:rFonts w:ascii="仿宋_GB2312" w:hAnsi="仿宋_GB2312" w:cs="仿宋_GB2312" w:eastAsia="仿宋_GB2312"/>
              </w:rPr>
              <w:t>1、配备分工合理，岗位间配合协调措施完善，得6分； 2、配备分工有一定合理性，岗位间配合协调措施较完善，得3分； 3、配备分工无针对性，岗位间协调配合措施简单笼统，得1分。未提供不得分。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专业技术能力及岗位职责</w:t>
            </w:r>
          </w:p>
        </w:tc>
        <w:tc>
          <w:tcPr>
            <w:tcW w:type="dxa" w:w="2492"/>
          </w:tcPr>
          <w:p>
            <w:pPr>
              <w:pStyle w:val="null3"/>
            </w:pPr>
            <w:r>
              <w:rPr>
                <w:rFonts w:ascii="仿宋_GB2312" w:hAnsi="仿宋_GB2312" w:cs="仿宋_GB2312" w:eastAsia="仿宋_GB2312"/>
              </w:rPr>
              <w:t>1、人员专业技术能力强，岗位职责清晰，得6分； 2、人员有一定的专业技术能力，岗位职责较清晰，得3分； 3、人员专业技术能力欠缺，得1分。未提供不得分。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机械设备和劳动力配置情况</w:t>
            </w:r>
          </w:p>
        </w:tc>
        <w:tc>
          <w:tcPr>
            <w:tcW w:type="dxa" w:w="2492"/>
          </w:tcPr>
          <w:p>
            <w:pPr>
              <w:pStyle w:val="null3"/>
            </w:pPr>
            <w:r>
              <w:rPr>
                <w:rFonts w:ascii="仿宋_GB2312" w:hAnsi="仿宋_GB2312" w:cs="仿宋_GB2312" w:eastAsia="仿宋_GB2312"/>
              </w:rPr>
              <w:t>针对本项目提供拟投入本项目主要机械、设备和劳动力配置情况。 1、拟投入的机械设备数量充足，与项目匹配度高，劳动力配置合理，完全满足项目需要，得5分； 2、拟投入的机械设备数量、与项目基本匹配，劳动力配置较合理，基本满足项目需要，得3分； 3、拟投入的机械设备和劳动力配置简单，无针对性，得1分。未提供不得分。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其它资料.docx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针对本项目提供项目风险预测与防范，事故应急预案。 1、风险预测与防范内容完善，针对性强，预案及措施科学合理可行性强，得5分； 2、风险预测与防范内容较完善，预案及措施有一定针对性和可行性强，得3分； 3、风险预测与防范内容、预案及措施内容简单笼统，无针对性，得1分。未提供不得分。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其它资料.docx</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1、进度计划安排合理、措施有效，工期目标明确，满足采购人要求，得10分；2、进度计划安排较合理、措施较有效，工期目标基本清晰，基本满足采购人要求，得7分； 3、进度计划和工期目标内容简单笼统，无针对性，得3分。4、进度计划和工期目标内容无针对性，不能满足项目实施需求得1分。5、未提供不得分。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提供供应商2022年6月1日至今（以合同的签订日期为准）承接过类似项目的合同证明（每提供一个得3分，满分15分）（合同内容须清晰可辨认，无涂改，否则视为无效合同）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其它资料.docx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2、有效最低报价为磋商基准价。3、磋商报价按（磋商基准价/有效磋商报价）×15的公式计算其得分。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