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版本号：ZCTH2025-07-06020250714001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2025教育服务项目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ZCTH2025-07-060</w:t>
      </w:r>
      <w:r>
        <w:br/>
      </w:r>
      <w:r>
        <w:br/>
      </w:r>
      <w:r>
        <w:br/>
      </w:r>
    </w:p>
    <w:p>
      <w:pPr>
        <w:pStyle w:val="null3"/>
        <w:jc w:val="center"/>
        <w:outlineLvl w:val="2"/>
      </w:pPr>
      <w:r>
        <w:rPr>
          <w:rFonts w:ascii="仿宋_GB2312" w:hAnsi="仿宋_GB2312" w:cs="仿宋_GB2312" w:eastAsia="仿宋_GB2312"/>
          <w:sz w:val="28"/>
          <w:b/>
        </w:rPr>
        <w:t>西安市体育运动学校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西安市体育运动学校</w:t>
      </w:r>
      <w:r>
        <w:rPr>
          <w:rFonts w:ascii="仿宋_GB2312" w:hAnsi="仿宋_GB2312" w:cs="仿宋_GB2312" w:eastAsia="仿宋_GB2312"/>
        </w:rPr>
        <w:t>委托，拟对</w:t>
      </w:r>
      <w:r>
        <w:rPr>
          <w:rFonts w:ascii="仿宋_GB2312" w:hAnsi="仿宋_GB2312" w:cs="仿宋_GB2312" w:eastAsia="仿宋_GB2312"/>
        </w:rPr>
        <w:t>2025教育服务项目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ZCTH2025-07-060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2025教育服务项目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2025教育服务项目，保障140个课时的教学服务。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采购包1（2025教育服务项目）：属于专门面向中小企业采购。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2023或2024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6、书面声明：提供具有履行本合同所必需的设备和专业技术能力的声明、参加采购活动前3年内在经营活动中没有重大违法记录的书面承诺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西安市体育运动学校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伞塔路89号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西安市体育运动学校经办王艺璟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13186138563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 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注：代理服务费不足陆仟元整按陆仟元整收取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西安市体育运动学校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西安市体育运动学校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西安市体育运动学校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依据磋商文件要求、响应文件承诺、合同及国家或行业标准。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2025教育服务项目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w:t>
            </w:r>
          </w:p>
          <w:p>
            <w:pPr>
              <w:pStyle w:val="null3"/>
              <w:jc w:val="both"/>
            </w:pPr>
            <w:r>
              <w:rPr>
                <w:rFonts w:ascii="仿宋_GB2312" w:hAnsi="仿宋_GB2312" w:cs="仿宋_GB2312" w:eastAsia="仿宋_GB2312"/>
                <w:sz w:val="21"/>
              </w:rPr>
              <w:t>由乙方根据甲方教学要求负责制定教学计划，并负责授课教师的聘用、教学任务安排和管理以及工资待遇、课程安排。甲方根据乙方教学计划、教学进度，检查教学计划落实情况。</w:t>
            </w:r>
          </w:p>
          <w:p>
            <w:pPr>
              <w:pStyle w:val="null3"/>
              <w:jc w:val="left"/>
            </w:pPr>
            <w:r>
              <w:rPr>
                <w:rFonts w:ascii="仿宋_GB2312" w:hAnsi="仿宋_GB2312" w:cs="仿宋_GB2312" w:eastAsia="仿宋_GB2312"/>
                <w:sz w:val="20"/>
              </w:rPr>
              <w:t>保障</w:t>
            </w:r>
            <w:r>
              <w:rPr>
                <w:rFonts w:ascii="仿宋_GB2312" w:hAnsi="仿宋_GB2312" w:cs="仿宋_GB2312" w:eastAsia="仿宋_GB2312"/>
                <w:sz w:val="20"/>
              </w:rPr>
              <w:t>140个课时的教学服务</w:t>
            </w:r>
          </w:p>
          <w:tbl>
            <w:tblPr>
              <w:tblInd w:type="dxa" w:w="90"/>
              <w:tblBorders>
                <w:top w:val="none" w:color="000000" w:sz="4"/>
                <w:left w:val="none" w:color="000000" w:sz="4"/>
                <w:bottom w:val="none" w:color="000000" w:sz="4"/>
                <w:right w:val="none" w:color="000000" w:sz="4"/>
                <w:insideH w:val="none"/>
                <w:insideV w:val="none"/>
              </w:tblBorders>
            </w:tblPr>
            <w:tblGrid>
              <w:gridCol w:w="405"/>
              <w:gridCol w:w="817"/>
              <w:gridCol w:w="665"/>
              <w:gridCol w:w="665"/>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学期</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周课时（节数）</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周数（节数）</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2024-2025（2）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2025-2026（1）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按“技术参数与性能指标”中实际需求配备相应人员</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服务质量：质量达到现行合格标准，符合国家、行业、地方规定的质量和安全标准要求。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质检机构、采购代理机构共同进行验收,验收费用由中标人支付；验收合格须交接项目实施的全部资料，并填写政府采购项目验收报告单。验收须以合同、招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服务合同签订后，由乙方提出付款申请并开具增值税发票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合同签订后两个月，由乙方提出付款申请并开具增值税发票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合同签订后四个月，由乙方提出付款申请并开具增值税发票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合同签订后六个月，由乙方提出付款申请并开具增值税发票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1.响应文件是否按照磋商文件规定提交的；2.响应文件的签署、加盖印章是否合格、有效；提供的各种证明文件、数据、资料是否真实、有效； 3.无投标有效期或有效期达不到磋商文件要求的；4.响应文件附加了采购人难以接受的条件或条款的；5.响应文件未实质性响应招标文件要求的；6.不符合法律、法规和磋商文件中规定的其他实质性要求的。</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其他证明材料.docx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 提供针对本项目采购人要求的服务内容的需求分析（包括但不限于①工作现状分析；②采购人业务需求分析；③行业特殊性的重点难点分析等方面）。 二、评审标准 完善性：方案必须全面，对评审内容中的各项要求有详细阐述； 2、可实施性：切合本项目实际情况，提出步骤清晰、合理的方案； 3、针对性：方案能够紧扣项目实际情况，内容科学合理。 上述3项评审内容全部满足评审标准得18分，每有一个评审内容缺项扣6分，每有一项评审内容存在缺陷，扣（0-6）分。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针对本项目提供具体可行的服务方案，包括但不限于①管理方案；②服务定位；③服务方案；④考核机制；⑤监督机制；⑥制定档案资料管理和移交工作制度。 二、评审标准 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上述6项评审内容全部满足评审标准得18分，每有一个评审内容缺项扣3分，每有一项评审内容存在缺陷，扣（0-3）分，扣完为止。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服务质量控制措施及承诺</w:t>
            </w:r>
          </w:p>
        </w:tc>
        <w:tc>
          <w:tcPr>
            <w:tcW w:type="dxa" w:w="2492"/>
          </w:tcPr>
          <w:p>
            <w:pPr>
              <w:pStyle w:val="null3"/>
            </w:pPr>
            <w:r>
              <w:rPr>
                <w:rFonts w:ascii="仿宋_GB2312" w:hAnsi="仿宋_GB2312" w:cs="仿宋_GB2312" w:eastAsia="仿宋_GB2312"/>
              </w:rPr>
              <w:t>一、评审内容 针对本项目提供具体可行的服务质量控制措施及承诺，包括但不限于①培训方案；②有利于本项目实施的服务承诺；③质量保证措施。 二、评审标准 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针对本项目提供具体可行的团队配置方案，包括但不限于①团队人员架构；②岗位人员配置合理，有丰富的项目经验；③团队人员管理制度。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上述3项评审内容全部满足评审标准得18分，每有一个评审内容缺项扣6分，每有一项评审内容存在缺陷，扣（0-6）分，扣完为止。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针对本项目提供具体可行的应急方案，包括但不限于①发生故障或事故时的应急方案；②劳务纠纷；③工伤处置预案。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供应商具有2022年1月至今的同类业绩证明文件（以合同签订时间为准），每提供一个得2分，满分6分。 注：响应文件中附加盖供应商公章的合同复印件。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价格分统一采用低价优先法计算，即满足磋商文件要求且管理费最低的磋商报价为磋商基准价，其价格分为满分。其他供应商的价格分统一按照下列公式计算： 磋商报价得分=(磋商基准价／磋商报价)×10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