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版本号：SXGS2025-ZC-01520250714001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运维平台软件采购项目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SXGS2025-ZC-015</w:t>
      </w:r>
      <w:r>
        <w:br/>
      </w:r>
      <w:r>
        <w:br/>
      </w:r>
      <w:r>
        <w:br/>
      </w:r>
    </w:p>
    <w:p>
      <w:pPr>
        <w:pStyle w:val="null3"/>
        <w:jc w:val="center"/>
        <w:outlineLvl w:val="2"/>
      </w:pPr>
      <w:r>
        <w:rPr>
          <w:rFonts w:ascii="仿宋_GB2312" w:hAnsi="仿宋_GB2312" w:cs="仿宋_GB2312" w:eastAsia="仿宋_GB2312"/>
          <w:sz w:val="28"/>
          <w:b/>
        </w:rPr>
        <w:t>陕西西咸新区人民检察院</w:t>
      </w:r>
    </w:p>
    <w:p>
      <w:pPr>
        <w:pStyle w:val="null3"/>
        <w:jc w:val="center"/>
        <w:outlineLvl w:val="2"/>
      </w:pPr>
      <w:r>
        <w:rPr>
          <w:rFonts w:ascii="仿宋_GB2312" w:hAnsi="仿宋_GB2312" w:cs="仿宋_GB2312" w:eastAsia="仿宋_GB2312"/>
          <w:sz w:val="28"/>
          <w:b/>
        </w:rPr>
        <w:t>陕西亘上项目管理咨询有限公司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陕西亘上项目管理咨询有限公司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陕西西咸新区人民检察院</w:t>
      </w:r>
      <w:r>
        <w:rPr>
          <w:rFonts w:ascii="仿宋_GB2312" w:hAnsi="仿宋_GB2312" w:cs="仿宋_GB2312" w:eastAsia="仿宋_GB2312"/>
        </w:rPr>
        <w:t>委托，拟对</w:t>
      </w:r>
      <w:r>
        <w:rPr>
          <w:rFonts w:ascii="仿宋_GB2312" w:hAnsi="仿宋_GB2312" w:cs="仿宋_GB2312" w:eastAsia="仿宋_GB2312"/>
        </w:rPr>
        <w:t>运维平台软件采购项目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SXGS2025-ZC-015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运维平台软件采购项目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本项目服务地点为陕西西咸新区人民检察院；为我院安装部署运维管理平台（含大屏）、上网行为管理及工作网杀毒 软件。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2、法定代表人授权书：提供法定代表人授权书（附法定代表人、被授权人身份证复印件并加盖公章）（法定代表人直接参加投标，须提供法定代表人身份证明及身份证复印件并加盖公章）</w:t>
      </w:r>
    </w:p>
    <w:p>
      <w:pPr>
        <w:pStyle w:val="null3"/>
      </w:pPr>
      <w:r>
        <w:rPr>
          <w:rFonts w:ascii="仿宋_GB2312" w:hAnsi="仿宋_GB2312" w:cs="仿宋_GB2312" w:eastAsia="仿宋_GB2312"/>
        </w:rPr>
        <w:t>3、财务状况：提供经会计师事务所审计的2024年完整的财务审计报告（至少包括资产负债表和利润表，成立时间至提交投标文件截止时间不足一年的可提供成立后任意时段的资产负债表）；或其开标前半年内基本存款账户开户银行出具的资信证明（附基本存款账户信息）；</w:t>
      </w:r>
    </w:p>
    <w:p>
      <w:pPr>
        <w:pStyle w:val="null3"/>
      </w:pPr>
      <w:r>
        <w:rPr>
          <w:rFonts w:ascii="仿宋_GB2312" w:hAnsi="仿宋_GB2312" w:cs="仿宋_GB2312" w:eastAsia="仿宋_GB2312"/>
        </w:rPr>
        <w:t>4、社会保障资金：提供投标截止日前半年内任意一个月的社会保障资金缴存单据或社保机构开具的社会保险参保缴费情况证明，依法不需要缴纳社会保障资金的单位应提供相关证明材料；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5、税收缴纳证明：提供投标截止日前半年内任意一个月的纳税证明或完税证明，依法免税的单位应提供相关证明材料；</w:t>
      </w:r>
    </w:p>
    <w:p>
      <w:pPr>
        <w:pStyle w:val="null3"/>
      </w:pPr>
      <w:r>
        <w:rPr>
          <w:rFonts w:ascii="仿宋_GB2312" w:hAnsi="仿宋_GB2312" w:cs="仿宋_GB2312" w:eastAsia="仿宋_GB2312"/>
        </w:rPr>
        <w:t>6、履约能力：具有履行合同所必需的设备和专业技术能力的承诺书；</w:t>
      </w:r>
    </w:p>
    <w:p>
      <w:pPr>
        <w:pStyle w:val="null3"/>
      </w:pPr>
      <w:r>
        <w:rPr>
          <w:rFonts w:ascii="仿宋_GB2312" w:hAnsi="仿宋_GB2312" w:cs="仿宋_GB2312" w:eastAsia="仿宋_GB2312"/>
        </w:rPr>
        <w:t>7、书面声明：提供参加政府采购活动前三年内，在经营活动中没有重大违法记录书面声明；</w:t>
      </w:r>
    </w:p>
    <w:p>
      <w:pPr>
        <w:pStyle w:val="null3"/>
      </w:pPr>
      <w:r>
        <w:rPr>
          <w:rFonts w:ascii="仿宋_GB2312" w:hAnsi="仿宋_GB2312" w:cs="仿宋_GB2312" w:eastAsia="仿宋_GB2312"/>
        </w:rPr>
        <w:t>8、信用中国：截止竞争性谈判文件递交截止时间之前，供应商不得在“信用中国” 网站（www.creditchina.gov.cn）中被列入失信被执行人、或被列入异常经营名录及重大税收违法失信主体、“ 中国政府采购网(www.ccgp.gov.cn)” 未被列入政府采购严重违法失信行为记录名单；</w:t>
      </w:r>
    </w:p>
    <w:p>
      <w:pPr>
        <w:pStyle w:val="null3"/>
      </w:pPr>
      <w:r>
        <w:rPr>
          <w:rFonts w:ascii="仿宋_GB2312" w:hAnsi="仿宋_GB2312" w:cs="仿宋_GB2312" w:eastAsia="仿宋_GB2312"/>
        </w:rPr>
        <w:t>9、不接受联合体投标：本项目不接受联合体投标。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陕西西咸新区人民检察院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陕西省咸阳市渭城区窑店街道兰池二路与秦义南路交叉口兰池大厦A座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18133920670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陕西亘上项目管理咨询有限公司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陕西省西安市未央区陕西省西安市未央区未央路荣豪大厦12层11220号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02987363598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 办法》（计价格[2002]1980号）国家发展和改革委员会办公厅颁发的《关于招标代理服务收费 有关问题的通知》（发改办价格[2003]857号）的有关规定执行，代理服务费不足伍仟元按伍 仟元收取。 中标单位在领取成交通知书前，须向采购代理机构一次性支付招标代理服务费。 开 户名称：陕西亘上项目管理咨询有限公司； 开户银行：中国建设银行股份有限公司西安广安路 支行 银行账号：61050173960009555555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陕西西咸新区人民检察院</w:t>
      </w:r>
      <w:r>
        <w:rPr>
          <w:rFonts w:ascii="仿宋_GB2312" w:hAnsi="仿宋_GB2312" w:cs="仿宋_GB2312" w:eastAsia="仿宋_GB2312"/>
        </w:rPr>
        <w:t>和</w:t>
      </w:r>
      <w:r>
        <w:rPr>
          <w:rFonts w:ascii="仿宋_GB2312" w:hAnsi="仿宋_GB2312" w:cs="仿宋_GB2312" w:eastAsia="仿宋_GB2312"/>
        </w:rPr>
        <w:t>陕西亘上项目管理咨询有限公司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陕西西咸新区人民检察院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陕西亘上项目管理咨询有限公司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陕西西咸新区人民检察院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陕西亘上项目管理咨询有限公司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按照文件等服务指标进行逐项验收，各项指标均应符合验收标准及要求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联系电话：02987363598</w:t>
      </w:r>
    </w:p>
    <w:p>
      <w:pPr>
        <w:pStyle w:val="null3"/>
      </w:pPr>
      <w:r>
        <w:rPr>
          <w:rFonts w:ascii="仿宋_GB2312" w:hAnsi="仿宋_GB2312" w:cs="仿宋_GB2312" w:eastAsia="仿宋_GB2312"/>
        </w:rPr>
        <w:t>地址：陕西省西安市未央区未央路荣豪大厦12层1222室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本项目服务地点为陕西西咸新区人民检察院；为我院安装部署运维管理平台（含大屏）、上网行为管理及工作网杀毒软件。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运维平台软件采购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标的名称：运维平台软件采购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4"/>
              <w:gridCol w:w="1448"/>
              <w:gridCol w:w="617"/>
              <w:gridCol w:w="749"/>
            </w:tblGrid>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智能运维平台</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全网行为管理</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运维工作站</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操作系统</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终端安全防护系统</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杀毒软件</w:t>
                  </w:r>
                  <w:r>
                    <w:rPr>
                      <w:rFonts w:ascii="仿宋_GB2312" w:hAnsi="仿宋_GB2312" w:cs="仿宋_GB2312" w:eastAsia="仿宋_GB2312"/>
                      <w:sz w:val="20"/>
                      <w:color w:val="000000"/>
                    </w:rPr>
                    <w:t>XC客户端授权【网络版】</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w:t>
                  </w:r>
                  <w:r>
                    <w:rPr>
                      <w:rFonts w:ascii="仿宋_GB2312" w:hAnsi="仿宋_GB2312" w:cs="仿宋_GB2312" w:eastAsia="仿宋_GB2312"/>
                      <w:sz w:val="20"/>
                      <w:color w:val="000000"/>
                    </w:rPr>
                    <w:t>u盘</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LED显示屏</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播放控制软件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视频拼控器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配电柜</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输入电缆及施工</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钢结构及安装调试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8.52</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装修</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25"/>
              <w:gridCol w:w="473"/>
              <w:gridCol w:w="577"/>
              <w:gridCol w:w="1806"/>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具体技术要求</w:t>
                  </w:r>
                </w:p>
              </w:tc>
            </w:tr>
            <w:tr>
              <w:tc>
                <w:tcPr>
                  <w:tcW w:type="dxa" w:w="3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智能运维平台</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系统平台</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平台采用</w:t>
                  </w:r>
                  <w:r>
                    <w:rPr>
                      <w:rFonts w:ascii="仿宋_GB2312" w:hAnsi="仿宋_GB2312" w:cs="仿宋_GB2312" w:eastAsia="仿宋_GB2312"/>
                      <w:sz w:val="20"/>
                      <w:color w:val="000000"/>
                    </w:rPr>
                    <w:t>B/S架构，基于Java的开放式平台开发，能在Linux等不同平台下顺利部署、移植，采用模块化开发，前端、采集器、控制器、数据库能在不同节点运行，支持docker容器化部署。系统自带无版权问题的数据库，用户可根据自己使用场景灵活选择存储的数据库，采集器支持分布式部署，分布式节点能够自动负载均衡。</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资源管理</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资源管理，融合多种资源类型，以树形结构为逻辑导航，实现资源的统一化管理和监控，支持全局的资源搜索与展示，即可在一张表同时展现网络设备、安全设备、服务器、存储、数据库、应用等资源，包括资源的</w:t>
                  </w:r>
                  <w:r>
                    <w:rPr>
                      <w:rFonts w:ascii="仿宋_GB2312" w:hAnsi="仿宋_GB2312" w:cs="仿宋_GB2312" w:eastAsia="仿宋_GB2312"/>
                      <w:sz w:val="20"/>
                      <w:color w:val="000000"/>
                    </w:rPr>
                    <w:t>IP、名称、类型、状态、数据域、描述信息等，能够基于关键字搜索，也能按照列进行排序，便于运维人员对全局资源的快速查看以定位，方便运维人员操作。自动记录系统中对设备的操作日志，设备的预警信息能够基于时间轴表达，直观展示资源预警信息。（提供截图证明）</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网络设备管理</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支持对符合</w:t>
                  </w:r>
                  <w:r>
                    <w:rPr>
                      <w:rFonts w:ascii="仿宋_GB2312" w:hAnsi="仿宋_GB2312" w:cs="仿宋_GB2312" w:eastAsia="仿宋_GB2312"/>
                      <w:sz w:val="20"/>
                      <w:color w:val="000000"/>
                    </w:rPr>
                    <w:t>SNMP协议的交换机、路由器、防火墙等网络设备进行监测，包含设备的MAC地址、运行时间、描述信息、ICMP、内存利用率、CPU利用率等基本信息。能够自动发现设备的网络接口，自动过滤虚拟接口，能够监测到接口的状态、类型、索引、名称、输入输出速率、输入输出利用率等信息。能够自由配置设备背板，可根据设备物理接口数量，自动生成设备背板。能够自动发现设备之间的连接关系，能够监测到链路状态、输入输出速率、利用率等链路信息。</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服务器管理</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支持监控多种主流操作系统。包括服务器的</w:t>
                  </w:r>
                  <w:r>
                    <w:rPr>
                      <w:rFonts w:ascii="仿宋_GB2312" w:hAnsi="仿宋_GB2312" w:cs="仿宋_GB2312" w:eastAsia="仿宋_GB2312"/>
                      <w:sz w:val="20"/>
                      <w:color w:val="000000"/>
                    </w:rPr>
                    <w:t>MAC、系统类型、运行时间、描述等基础信息。服务器的运行指标包括ICMP、物理内存利用率、虚拟内存利用率、磁盘利用率、网卡状态、网卡输入输出速率、进程列表、进程内存使用大小等指标情况。</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URL管理</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URL地址状态码、响应时间监测，通过模拟浏览器访问的方式监测URL地址状态。支持地址的批量导入导出，支持响应时间排序与地址状态统计。对于GET、POST请求需要携带参数的场景，可以根据接口要求自定义请求参数，支持返回结果自定义解析。</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拓扑性能</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基于性能要求同张拓扑图上支持展示</w:t>
                  </w:r>
                  <w:r>
                    <w:rPr>
                      <w:rFonts w:ascii="仿宋_GB2312" w:hAnsi="仿宋_GB2312" w:cs="仿宋_GB2312" w:eastAsia="仿宋_GB2312"/>
                      <w:sz w:val="20"/>
                      <w:color w:val="000000"/>
                    </w:rPr>
                    <w:t>2000个节点以上，页面加载时间不超过3秒。（提供第三方权威机构出具的软件测试报告）</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预警管理</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预警过滤：支持告警抖动、告警延迟、收敛时间、收敛次数、过滤时间段等参数配置。</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预警规则：可对系统监测的所有指标进行预警规则配置，规则支持大于、小于、等于、包含、不包含等逻辑运行的灵活配置，也支持复杂表达式的预警规则定义，支持四种不同等级的配置。支持不同时间段设置不同的阈值，做到分时段预警，提高预警准确性。</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故障管理：故障管理页面为系统预警统一查看界面，支持预警确认，确认时可填写备注与上传附件。预警详情页面可查看该指标最近</w:t>
                  </w:r>
                  <w:r>
                    <w:rPr>
                      <w:rFonts w:ascii="仿宋_GB2312" w:hAnsi="仿宋_GB2312" w:cs="仿宋_GB2312" w:eastAsia="仿宋_GB2312"/>
                      <w:sz w:val="20"/>
                      <w:color w:val="000000"/>
                    </w:rPr>
                    <w:t>24小时指标趋势，同时可推荐相关预案，可快速联动SSH、TELNET、远程桌面等运维工具快速分析和处理故障。</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文件中心</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系统支持文件的分组、上传、下载、分享等功能，方便用户对常规的运维软件、项目文档、常用工具、常用文档等进行统一的归档、查阅、分享等。分享支持有密与无密分享，并支持分享时间控制。</w:t>
                  </w:r>
                </w:p>
              </w:tc>
            </w:tr>
            <w:tr>
              <w:tc>
                <w:tcPr>
                  <w:tcW w:type="dxa" w:w="32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管理规模</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1个集中管理平台，对60台设备（包含：安全设备、网络设备、数据库、应用）进行集中化管理运维。并配置拓扑管理、预警管理、报表管理等模块。</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全网行为管理</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行为准入模块</w:t>
                  </w:r>
                  <w:r>
                    <w:br/>
                  </w:r>
                  <w:r>
                    <w:rPr>
                      <w:rFonts w:ascii="仿宋_GB2312" w:hAnsi="仿宋_GB2312" w:cs="仿宋_GB2312" w:eastAsia="仿宋_GB2312"/>
                      <w:sz w:val="20"/>
                      <w:color w:val="000000"/>
                    </w:rPr>
                    <w:t>1.在不安装客户端的情况下，支持通过流量状况检查主流杀毒软件的运行情况，支持页面重定向修复。（提供产品界面截图）</w:t>
                  </w:r>
                  <w:r>
                    <w:br/>
                  </w:r>
                  <w:r>
                    <w:rPr>
                      <w:rFonts w:ascii="仿宋_GB2312" w:hAnsi="仿宋_GB2312" w:cs="仿宋_GB2312" w:eastAsia="仿宋_GB2312"/>
                      <w:sz w:val="20"/>
                      <w:color w:val="000000"/>
                    </w:rPr>
                    <w:t>2.支持外发截屏，当用户外发附件时自动截取外发时刻的屏幕，并记录到文件审计日志。（提供产品界面截图）</w:t>
                  </w:r>
                  <w:r>
                    <w:br/>
                  </w:r>
                  <w:r>
                    <w:rPr>
                      <w:rFonts w:ascii="仿宋_GB2312" w:hAnsi="仿宋_GB2312" w:cs="仿宋_GB2312" w:eastAsia="仿宋_GB2312"/>
                      <w:sz w:val="20"/>
                      <w:color w:val="000000"/>
                    </w:rPr>
                    <w:t>3.支持对终端应用进行网络权限管控，配置后禁止或允许相关应用访问互联网，可精细化到禁止、允许访问指定IP地址，离线时继续生效。（提供产品界面截图）</w:t>
                  </w:r>
                  <w:r>
                    <w:br/>
                  </w:r>
                  <w:r>
                    <w:rPr>
                      <w:rFonts w:ascii="仿宋_GB2312" w:hAnsi="仿宋_GB2312" w:cs="仿宋_GB2312" w:eastAsia="仿宋_GB2312"/>
                      <w:sz w:val="20"/>
                      <w:color w:val="000000"/>
                    </w:rPr>
                    <w:t>4.支持外设管控，可对主流存储、网络设备、蓝牙设备、摄像头、打印机进行管控；支持外设白名单，提供批量获取硬件ID的工具进行白名单配置。（提供产品界面截图）</w:t>
                  </w:r>
                  <w:r>
                    <w:br/>
                  </w:r>
                  <w:r>
                    <w:rPr>
                      <w:rFonts w:ascii="仿宋_GB2312" w:hAnsi="仿宋_GB2312" w:cs="仿宋_GB2312" w:eastAsia="仿宋_GB2312"/>
                      <w:sz w:val="20"/>
                      <w:color w:val="000000"/>
                    </w:rPr>
                    <w:t>5.支持设置终端访问地址白名单或黑名单，写入终端防火墙ACL策略，管控规则可离线生效。（提供产品界面截图）</w:t>
                  </w:r>
                  <w:r>
                    <w:br/>
                  </w:r>
                  <w:r>
                    <w:rPr>
                      <w:rFonts w:ascii="仿宋_GB2312" w:hAnsi="仿宋_GB2312" w:cs="仿宋_GB2312" w:eastAsia="仿宋_GB2312"/>
                      <w:sz w:val="20"/>
                      <w:color w:val="000000"/>
                    </w:rPr>
                    <w:t>6.支持设置U盘管控，设定U盘白名单，仅允许白名单中的U盘ID准入访问，支持部署在现有安全工控机中。</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提供承诺函，承诺可部署在现有安全设备中</w:t>
                  </w:r>
                  <w:r>
                    <w:rPr>
                      <w:rFonts w:ascii="仿宋_GB2312" w:hAnsi="仿宋_GB2312" w:cs="仿宋_GB2312" w:eastAsia="仿宋_GB2312"/>
                      <w:sz w:val="20"/>
                      <w:color w:val="000000"/>
                    </w:rPr>
                    <w:t>。</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运维工作站</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2"/>
                      <w:color w:val="000000"/>
                    </w:rPr>
                    <w:t>国产</w:t>
                  </w:r>
                  <w:r>
                    <w:rPr>
                      <w:rFonts w:ascii="仿宋_GB2312" w:hAnsi="仿宋_GB2312" w:cs="仿宋_GB2312" w:eastAsia="仿宋_GB2312"/>
                      <w:sz w:val="22"/>
                      <w:color w:val="000000"/>
                    </w:rPr>
                    <w:t>cpu，8核，主频≥3.0，内存≥32g，512SSD+1T HDD</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27寸显示器、键鼠套装</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操作系统</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国产操作服务器操作系统</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终端安全防护系统</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配备独立管控中心软件</w:t>
                  </w:r>
                  <w:r>
                    <w:rPr>
                      <w:rFonts w:ascii="仿宋_GB2312" w:hAnsi="仿宋_GB2312" w:cs="仿宋_GB2312" w:eastAsia="仿宋_GB2312"/>
                      <w:sz w:val="20"/>
                      <w:color w:val="000000"/>
                    </w:rPr>
                    <w:t>1套，对现有客户端进行统一管理，实现管控策略下发、升级管理、日志记录、用户分级管理等功能，管理中心可支持接入市院管理中心作为二级管理中心使用，提供证明资料。提供3年病毒库升级服务</w:t>
                  </w:r>
                  <w:r>
                    <w:rPr>
                      <w:rFonts w:ascii="仿宋_GB2312" w:hAnsi="仿宋_GB2312" w:cs="仿宋_GB2312" w:eastAsia="仿宋_GB2312"/>
                      <w:sz w:val="20"/>
                      <w:color w:val="000000"/>
                    </w:rPr>
                    <w:t>。</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杀毒软件</w:t>
                  </w:r>
                  <w:r>
                    <w:rPr>
                      <w:rFonts w:ascii="仿宋_GB2312" w:hAnsi="仿宋_GB2312" w:cs="仿宋_GB2312" w:eastAsia="仿宋_GB2312"/>
                      <w:sz w:val="20"/>
                      <w:color w:val="000000"/>
                    </w:rPr>
                    <w:t>XC客户端授权【网络版】</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病毒功能：病毒查杀引擎包括云查杀引擎、鲲鹏（含AVE引擎）、Behavioral脚本引擎（QEX）、QVM等引擎，EAV引擎，支持多引擎的协同工作对病毒、木马、等进行查杀。实现病毒查杀、实时防护、信任区、隔离区等功能。</w:t>
                  </w:r>
                </w:p>
                <w:p>
                  <w:pPr>
                    <w:pStyle w:val="null3"/>
                    <w:jc w:val="left"/>
                  </w:pPr>
                  <w:r>
                    <w:rPr>
                      <w:rFonts w:ascii="仿宋_GB2312" w:hAnsi="仿宋_GB2312" w:cs="仿宋_GB2312" w:eastAsia="仿宋_GB2312"/>
                      <w:sz w:val="20"/>
                      <w:color w:val="000000"/>
                    </w:rPr>
                    <w:t>2.终端管控功能：支持对终端进行外联控制，并根据违规外联发生时内外网连接状态分别设置违规处理措施；支持对终端桌面系统的账号密码进行管控策略配置，支持自定义弱口令，系统</w:t>
                  </w:r>
                  <w:r>
                    <w:rPr>
                      <w:rFonts w:ascii="仿宋_GB2312" w:hAnsi="仿宋_GB2312" w:cs="仿宋_GB2312" w:eastAsia="仿宋_GB2312"/>
                      <w:sz w:val="20"/>
                      <w:color w:val="000000"/>
                    </w:rPr>
                    <w:t>支持国产操作系统</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3.移动存储管理功能：支持对移动存储介质的身份注册、适用范围和读写权限管理等功能 。</w:t>
                  </w:r>
                </w:p>
                <w:p>
                  <w:pPr>
                    <w:pStyle w:val="null3"/>
                    <w:jc w:val="left"/>
                  </w:pPr>
                  <w:r>
                    <w:rPr>
                      <w:rFonts w:ascii="仿宋_GB2312" w:hAnsi="仿宋_GB2312" w:cs="仿宋_GB2312" w:eastAsia="仿宋_GB2312"/>
                      <w:sz w:val="20"/>
                      <w:color w:val="000000"/>
                    </w:rPr>
                    <w:t>4.支持查看全网或特定分组内终端的安全情况，包括终端名称、IP地址、病毒数、病毒库更新时间。</w:t>
                  </w:r>
                </w:p>
                <w:p>
                  <w:pPr>
                    <w:pStyle w:val="null3"/>
                    <w:jc w:val="left"/>
                  </w:pPr>
                  <w:r>
                    <w:rPr>
                      <w:rFonts w:ascii="仿宋_GB2312" w:hAnsi="仿宋_GB2312" w:cs="仿宋_GB2312" w:eastAsia="仿宋_GB2312"/>
                      <w:sz w:val="20"/>
                      <w:color w:val="000000"/>
                    </w:rPr>
                    <w:t>5.提供 3 年病毒库升级服务</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w:t>
                  </w:r>
                  <w:r>
                    <w:rPr>
                      <w:rFonts w:ascii="仿宋_GB2312" w:hAnsi="仿宋_GB2312" w:cs="仿宋_GB2312" w:eastAsia="仿宋_GB2312"/>
                      <w:sz w:val="20"/>
                      <w:color w:val="000000"/>
                    </w:rPr>
                    <w:t>u盘</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64G存储</w:t>
                  </w:r>
                </w:p>
                <w:p>
                  <w:pPr>
                    <w:pStyle w:val="null3"/>
                    <w:numPr>
                      <w:ilvl w:val="0"/>
                      <w:numId w:val="1"/>
                    </w:numPr>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32G公共区+32G安全区，默认只可使用安全区，注册后可使用公共区），内置独立硬件加密芯片，支持文件存入自动加密，导出自动解密；支持被终端产品注册管理，支持文件加密存储，外出权限控制等功能，同时支持</w:t>
                  </w:r>
                  <w:r>
                    <w:rPr>
                      <w:rFonts w:ascii="仿宋_GB2312" w:hAnsi="仿宋_GB2312" w:cs="仿宋_GB2312" w:eastAsia="仿宋_GB2312"/>
                      <w:sz w:val="20"/>
                      <w:color w:val="000000"/>
                    </w:rPr>
                    <w:t>国产</w:t>
                  </w:r>
                  <w:r>
                    <w:rPr>
                      <w:rFonts w:ascii="仿宋_GB2312" w:hAnsi="仿宋_GB2312" w:cs="仿宋_GB2312" w:eastAsia="仿宋_GB2312"/>
                      <w:sz w:val="20"/>
                      <w:color w:val="000000"/>
                    </w:rPr>
                    <w:t>及</w:t>
                  </w:r>
                  <w:r>
                    <w:rPr>
                      <w:rFonts w:ascii="仿宋_GB2312" w:hAnsi="仿宋_GB2312" w:cs="仿宋_GB2312" w:eastAsia="仿宋_GB2312"/>
                      <w:sz w:val="20"/>
                      <w:color w:val="000000"/>
                    </w:rPr>
                    <w:t>windows环境下使用，支持指纹解锁功能。</w:t>
                  </w:r>
                </w:p>
                <w:p>
                  <w:pPr>
                    <w:pStyle w:val="null3"/>
                    <w:numPr>
                      <w:ilvl w:val="0"/>
                      <w:numId w:val="1"/>
                    </w:numPr>
                    <w:jc w:val="left"/>
                  </w:pPr>
                  <w:r>
                    <w:rPr>
                      <w:rFonts w:ascii="仿宋_GB2312" w:hAnsi="仿宋_GB2312" w:cs="仿宋_GB2312" w:eastAsia="仿宋_GB2312"/>
                      <w:sz w:val="20"/>
                      <w:color w:val="000000"/>
                    </w:rPr>
                    <w:t>提供</w:t>
                  </w:r>
                  <w:r>
                    <w:rPr>
                      <w:rFonts w:ascii="仿宋_GB2312" w:hAnsi="仿宋_GB2312" w:cs="仿宋_GB2312" w:eastAsia="仿宋_GB2312"/>
                      <w:sz w:val="20"/>
                      <w:color w:val="000000"/>
                    </w:rPr>
                    <w:t>3 年病毒库升级服务</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LED显示屏</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0"/>
                      <w:color w:val="000000"/>
                    </w:rPr>
                    <w:t>像素间距：</w:t>
                  </w:r>
                  <w:r>
                    <w:rPr>
                      <w:rFonts w:ascii="仿宋_GB2312" w:hAnsi="仿宋_GB2312" w:cs="仿宋_GB2312" w:eastAsia="仿宋_GB2312"/>
                      <w:sz w:val="20"/>
                      <w:color w:val="000000"/>
                    </w:rPr>
                    <w:t>≤1.25mm,像素点密度≥640000/㎡，整体屏幕尺寸为（长×高）：屏体：4200mm*2025mm（整体尺寸误差控制在±0.1%以内）。</w:t>
                  </w:r>
                </w:p>
                <w:p>
                  <w:pPr>
                    <w:pStyle w:val="null3"/>
                    <w:jc w:val="left"/>
                  </w:pPr>
                  <w:r>
                    <w:rPr>
                      <w:rFonts w:ascii="仿宋_GB2312" w:hAnsi="仿宋_GB2312" w:cs="仿宋_GB2312" w:eastAsia="仿宋_GB2312"/>
                      <w:sz w:val="20"/>
                      <w:color w:val="000000"/>
                    </w:rPr>
                    <w:t>2.像素构成:全倒装集成三合一COB封装;</w:t>
                  </w:r>
                  <w:r>
                    <w:br/>
                  </w:r>
                  <w:r>
                    <w:rPr>
                      <w:rFonts w:ascii="仿宋_GB2312" w:hAnsi="仿宋_GB2312" w:cs="仿宋_GB2312" w:eastAsia="仿宋_GB2312"/>
                      <w:sz w:val="20"/>
                      <w:color w:val="000000"/>
                    </w:rPr>
                    <w:t>3.箱体材质:箱体采用压铸铝合金，整体压铸，一次成型;；</w:t>
                  </w:r>
                  <w:r>
                    <w:br/>
                  </w:r>
                  <w:r>
                    <w:rPr>
                      <w:rFonts w:ascii="仿宋_GB2312" w:hAnsi="仿宋_GB2312" w:cs="仿宋_GB2312" w:eastAsia="仿宋_GB2312"/>
                      <w:sz w:val="20"/>
                      <w:color w:val="000000"/>
                    </w:rPr>
                    <w:t>4.刷新频率:≥3840Hz;换帧频率:50&amp;60Hz; 最大对比度:≥20000:1;</w:t>
                  </w:r>
                  <w:r>
                    <w:br/>
                  </w:r>
                  <w:r>
                    <w:rPr>
                      <w:rFonts w:ascii="仿宋_GB2312" w:hAnsi="仿宋_GB2312" w:cs="仿宋_GB2312" w:eastAsia="仿宋_GB2312"/>
                      <w:sz w:val="20"/>
                      <w:color w:val="000000"/>
                    </w:rPr>
                    <w:t>5.功耗:峰值功耗：≤325W/㎡；平均功耗：≤160W/㎡;</w:t>
                  </w:r>
                  <w:r>
                    <w:br/>
                  </w:r>
                  <w:r>
                    <w:rPr>
                      <w:rFonts w:ascii="仿宋_GB2312" w:hAnsi="仿宋_GB2312" w:cs="仿宋_GB2312" w:eastAsia="仿宋_GB2312"/>
                      <w:sz w:val="20"/>
                      <w:color w:val="000000"/>
                    </w:rPr>
                    <w:t>6.集成三合一设计，控制系统、HUB、电源三合一设计;</w:t>
                  </w:r>
                  <w:r>
                    <w:br/>
                  </w:r>
                  <w:r>
                    <w:rPr>
                      <w:rFonts w:ascii="仿宋_GB2312" w:hAnsi="仿宋_GB2312" w:cs="仿宋_GB2312" w:eastAsia="仿宋_GB2312"/>
                      <w:sz w:val="20"/>
                      <w:color w:val="000000"/>
                    </w:rPr>
                    <w:t>7.视角:水平≥175°；垂直≥175°;</w:t>
                  </w:r>
                  <w:r>
                    <w:br/>
                  </w:r>
                  <w:r>
                    <w:rPr>
                      <w:rFonts w:ascii="仿宋_GB2312" w:hAnsi="仿宋_GB2312" w:cs="仿宋_GB2312" w:eastAsia="仿宋_GB2312"/>
                      <w:sz w:val="20"/>
                      <w:color w:val="000000"/>
                    </w:rPr>
                    <w:t>8.亮度:≥600nits，支持通过配套软件0-100%无级调节; 亮度均匀性（校正后）:≥99%；</w:t>
                  </w:r>
                  <w:r>
                    <w:br/>
                  </w:r>
                  <w:r>
                    <w:rPr>
                      <w:rFonts w:ascii="仿宋_GB2312" w:hAnsi="仿宋_GB2312" w:cs="仿宋_GB2312" w:eastAsia="仿宋_GB2312"/>
                      <w:sz w:val="20"/>
                      <w:color w:val="000000"/>
                    </w:rPr>
                    <w:t>9.色温:2000-10000K可调，色温误差：色温为6500K时，100%，75%，50%，25%四挡电平白场调节色温误差160K;</w:t>
                  </w:r>
                  <w:r>
                    <w:br/>
                  </w:r>
                  <w:r>
                    <w:rPr>
                      <w:rFonts w:ascii="仿宋_GB2312" w:hAnsi="仿宋_GB2312" w:cs="仿宋_GB2312" w:eastAsia="仿宋_GB2312"/>
                      <w:sz w:val="20"/>
                      <w:color w:val="000000"/>
                    </w:rPr>
                    <w:t>10.产品通过节能认证，具备智能（黑屏）节电功能，开启智能节电功能比没有开启节能50%;</w:t>
                  </w:r>
                  <w:r>
                    <w:br/>
                  </w:r>
                  <w:r>
                    <w:rPr>
                      <w:rFonts w:ascii="仿宋_GB2312" w:hAnsi="仿宋_GB2312" w:cs="仿宋_GB2312" w:eastAsia="仿宋_GB2312"/>
                      <w:sz w:val="20"/>
                      <w:color w:val="000000"/>
                    </w:rPr>
                    <w:t>11.能效:符合GB 21520-2015标准要求，满足能效一级;</w:t>
                  </w:r>
                  <w:r>
                    <w:br/>
                  </w:r>
                  <w:r>
                    <w:rPr>
                      <w:rFonts w:ascii="仿宋_GB2312" w:hAnsi="仿宋_GB2312" w:cs="仿宋_GB2312" w:eastAsia="仿宋_GB2312"/>
                      <w:sz w:val="20"/>
                      <w:color w:val="000000"/>
                    </w:rPr>
                    <w:t>12.阻燃（防火）:PCB、面板、电源、信号连接器塑胶材料应达到 V-0级;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播放控制软件</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1、控制管理软件必须具备方便直观的中文界面，可实现多用户操作管理，网络远程遥控管理；</w:t>
                  </w:r>
                  <w:r>
                    <w:br/>
                  </w:r>
                  <w:r>
                    <w:rPr>
                      <w:rFonts w:ascii="仿宋_GB2312" w:hAnsi="仿宋_GB2312" w:cs="仿宋_GB2312" w:eastAsia="仿宋_GB2312"/>
                      <w:sz w:val="22"/>
                      <w:color w:val="000000"/>
                    </w:rPr>
                    <w:t>2、系统能够在显示设备上同时显示多类型素材(包括视频、图片、底图、字幕等)；</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视频拼控器</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1路HDMI2.0，4路DVI，1路3G-SDI。</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16路网口和4路光纤输出，带载高达1040万像素</w:t>
                  </w:r>
                  <w:r>
                    <w:br/>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5窗口任意布局，支持监视输出画面</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配电柜</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10KW智能配电柜，含PLC模块</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输入电缆及施工</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配电间到会议室电缆铺设</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钢结构及安装调试</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钢结构制作、包边、屏幕安装调试、培训及售后服务</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装修</w:t>
                  </w:r>
                </w:p>
              </w:tc>
              <w:tc>
                <w:tcPr>
                  <w:tcW w:type="dxa" w:w="23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对原有大屏包边处理，需与墙面立柱持平，整体美观大方。</w:t>
                  </w:r>
                </w:p>
              </w:tc>
            </w:tr>
          </w:tbl>
          <w:p>
            <w:pPr>
              <w:pStyle w:val="null3"/>
            </w:pPr>
            <w:r>
              <w:rPr>
                <w:rFonts w:ascii="仿宋_GB2312" w:hAnsi="仿宋_GB2312" w:cs="仿宋_GB2312" w:eastAsia="仿宋_GB2312"/>
              </w:rPr>
              <w:t xml:space="preserve"> </w:t>
            </w:r>
          </w:p>
          <w:p>
            <w:pPr>
              <w:pStyle w:val="null3"/>
              <w:ind w:firstLine="600"/>
              <w:jc w:val="both"/>
            </w:pPr>
            <w:r>
              <w:rPr>
                <w:rFonts w:ascii="仿宋_GB2312" w:hAnsi="仿宋_GB2312" w:cs="仿宋_GB2312" w:eastAsia="仿宋_GB2312"/>
                <w:sz w:val="24"/>
                <w:color w:val="C00000"/>
              </w:rPr>
              <w:t>注：本章中加</w:t>
            </w:r>
            <w:r>
              <w:rPr>
                <w:rFonts w:ascii="仿宋_GB2312" w:hAnsi="仿宋_GB2312" w:cs="仿宋_GB2312" w:eastAsia="仿宋_GB2312"/>
                <w:sz w:val="24"/>
                <w:color w:val="C00000"/>
              </w:rPr>
              <w:t>“★”条款为实质性条款，出现负偏离或未响应，将按照无效投标处理。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交付期：自合同签订后30工作日,完成本项目的全部内容并交付采购人验收合格。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设备到货安装调试完成后10个工作日内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按照文件等服务指标进行逐项验收，各项指标均应符合验收标准及要求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自验收合格之日起，供应商为用户购置的所有产品提供3年原厂质保服务，软件产品提供3年免费升级、维护服务。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1、按《民法典》中的相关条款执行。2、乙方未按协议要求提供服务或服务质量不 能满足协议要求的，甲方应当将供应商违约的情况以及拟采取的措施以书面形式报政府采购监管部门，根据政府采购监管部门 的处理意见，甲 方有权依据《民法典》有关条款及合同约定终止合同，并要求乙方承担违约责任。同时，政府采购监管部门 有权依据《政府采购法》及相关法律法规对乙方的违法行为进行相应的处罚。3、由不可抗力因素造成无法按照原计划提供服 务，双方互不追究违约责任。4、如有异议另行协商。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提供法定代表人授权书（附法定代表人、被授权人身份证复印件并加盖公章）（法定代表人直接参加投标，须提供法定代表人身份证明及身份证复印件并加盖公章）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会计师事务所审计的2024年完整的财务审计报告（至少包括资产负债表和利润表，成立时间至提交投标文件截止时间不足一年的可提供成立后任意时段的资产负债表）；或其开标前半年内基本存款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w:t>
            </w:r>
          </w:p>
        </w:tc>
        <w:tc>
          <w:tcPr>
            <w:tcW w:type="dxa" w:w="3322"/>
          </w:tcPr>
          <w:p>
            <w:pPr>
              <w:pStyle w:val="null3"/>
            </w:pPr>
            <w:r>
              <w:rPr>
                <w:rFonts w:ascii="仿宋_GB2312" w:hAnsi="仿宋_GB2312" w:cs="仿宋_GB2312" w:eastAsia="仿宋_GB2312"/>
              </w:rPr>
              <w:t>提供投标截止日前半年内任意一个月的社会保障资金缴存单据或社保机构开具的社会保险参保缴费情况证明，依法不需要缴纳社会保障资金的单位应提供相关证明材料；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截止竞争性谈判文件递交截止时间之前，供应商不得在“信用中国” 网站（www.creditchina.gov.cn）中被列入失信被执行人、或被列入异常经营名录及重大税收违法失信主体、“ 中国政府采购网(www.ccgp.gov.cn)” 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未超过最高限价，无选择性报价。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产品技术参数表 技术偏离表.docx 中小企业声明函 残疾人福利性单位声明函 商务应答表 供应商应提交的相关资格证明材料 标的清单 技术响应方案说明.docx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符合谈判文件的实质性要求</w:t>
            </w:r>
          </w:p>
        </w:tc>
        <w:tc>
          <w:tcPr>
            <w:tcW w:type="dxa" w:w="3322"/>
          </w:tcPr>
          <w:p>
            <w:pPr>
              <w:pStyle w:val="null3"/>
            </w:pPr>
            <w:r>
              <w:rPr>
                <w:rFonts w:ascii="仿宋_GB2312" w:hAnsi="仿宋_GB2312" w:cs="仿宋_GB2312" w:eastAsia="仿宋_GB2312"/>
              </w:rPr>
              <w:t>符合谈判文件的实质性要求。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详见附件：015谈判货物采购合同.docx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