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版本号：ZMZB2025ZXXZ-2620250715002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采供血业务信息系统及信息中心机房硬件运维项目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ZMZB2025ZXXZ-26</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采供血业务信息系统及信息中心机房硬件运维项目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ZMZB2025ZXXZ-26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采供血业务信息系统及信息中心机房硬件运维项目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采购包1：采供血业务信息系统运维，采购包2：信息中心机房硬件运维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1、法定代表人委托授权书：非法定代表人参加投标的，须提供法定代表人委托授权书及被授权人近三个月社保缴纳证明，法定代表人参加投标时,只需提供法定代表人身份证</w:t>
      </w:r>
    </w:p>
    <w:p>
      <w:pPr>
        <w:pStyle w:val="null3"/>
      </w:pPr>
      <w:r>
        <w:rPr>
          <w:rFonts w:ascii="仿宋_GB2312" w:hAnsi="仿宋_GB2312" w:cs="仿宋_GB2312" w:eastAsia="仿宋_GB2312"/>
        </w:rPr>
        <w:t>2、本项目不接受由西安市中心血站职工及其亲属投资举办的企业参加投标：本项目不接受由西安市中心血站职工及其亲属投资举办的企业参加投标</w:t>
      </w:r>
    </w:p>
    <w:p>
      <w:pPr>
        <w:pStyle w:val="null3"/>
      </w:pPr>
      <w:r>
        <w:rPr>
          <w:rFonts w:ascii="仿宋_GB2312" w:hAnsi="仿宋_GB2312" w:cs="仿宋_GB2312" w:eastAsia="仿宋_GB2312"/>
        </w:rPr>
        <w:t>3、联合体：本项目不接受联合体投标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1、法定代表人委托授权书：非法定代表人参加投标的，须提供法定代表人委托授权书及被授权人近三个月社保缴纳证明，法定代表人参加投标时,只需提供法定代表人身份证</w:t>
      </w:r>
    </w:p>
    <w:p>
      <w:pPr>
        <w:pStyle w:val="null3"/>
      </w:pPr>
      <w:r>
        <w:rPr>
          <w:rFonts w:ascii="仿宋_GB2312" w:hAnsi="仿宋_GB2312" w:cs="仿宋_GB2312" w:eastAsia="仿宋_GB2312"/>
        </w:rPr>
        <w:t>2、本项目不接受由西安市中心血站职工及其亲属投资举办的企业参加投标：本项目不接受由西安市中心血站职工及其亲属投资举办的企业参加投标</w:t>
      </w:r>
    </w:p>
    <w:p>
      <w:pPr>
        <w:pStyle w:val="null3"/>
      </w:pPr>
      <w:r>
        <w:rPr>
          <w:rFonts w:ascii="仿宋_GB2312" w:hAnsi="仿宋_GB2312" w:cs="仿宋_GB2312" w:eastAsia="仿宋_GB2312"/>
        </w:rPr>
        <w:t>3、联合体：本项目不接受联合体投标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采购包1：317,300.00元</w:t>
            </w:r>
          </w:p>
          <w:p>
            <w:pPr>
              <w:pStyle w:val="null3"/>
            </w:pPr>
            <w:r>
              <w:rPr>
                <w:rFonts w:ascii="仿宋_GB2312" w:hAnsi="仿宋_GB2312" w:cs="仿宋_GB2312" w:eastAsia="仿宋_GB2312"/>
              </w:rPr>
              <w:t>采购包2：48,000.00元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30万元以上的参照国家计委颁发的《招标代理服务收赛管理暂行办法》(计价格[2002]1980号)及(发改办价格[2011]534号)的规定收费标准80%计取，中标金额30万元(含)以下的参照国家计委颁发的《招标代理服务收费管理暂行办法》(计价格[2002]1980号)及(发改办价格[2011]534号)的规定收标准90%计取。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西安市中心血站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暂未约定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暂未约定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联系人：陕西卓佲项目管理有限公司</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采购包1：采供血业务信息系统运维，采购包2：信息中心机房硬件运维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317,300.00</w:t>
      </w:r>
    </w:p>
    <w:p>
      <w:pPr>
        <w:pStyle w:val="null3"/>
      </w:pPr>
      <w:r>
        <w:rPr>
          <w:rFonts w:ascii="仿宋_GB2312" w:hAnsi="仿宋_GB2312" w:cs="仿宋_GB2312" w:eastAsia="仿宋_GB2312"/>
        </w:rPr>
        <w:t>采购包最高限价（元）: 317,300.00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采供血业务信息系统运维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317,300.00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48,000.00</w:t>
      </w:r>
    </w:p>
    <w:p>
      <w:pPr>
        <w:pStyle w:val="null3"/>
      </w:pPr>
      <w:r>
        <w:rPr>
          <w:rFonts w:ascii="仿宋_GB2312" w:hAnsi="仿宋_GB2312" w:cs="仿宋_GB2312" w:eastAsia="仿宋_GB2312"/>
        </w:rPr>
        <w:t>采购包最高限价（元）: 48,000.00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信息中心机房硬件运维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标的名称：采供血业务信息系统运维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采供血业务信息系统是西安市中心血站实现采供血业务信息化管理的核心系统，涵盖献血者招募、血液采集、检测、存储、发放等全流程。随着业务的开和系统的长期运行，系统存在功能更新、需求增加等问题。为保障系统稳定、高效运行，满足日益增长的采供血业务需求，计划采购专业的采供血业务信息系统运维服务，预算</w:t>
            </w:r>
            <w:r>
              <w:rPr>
                <w:rFonts w:ascii="仿宋_GB2312" w:hAnsi="仿宋_GB2312" w:cs="仿宋_GB2312" w:eastAsia="仿宋_GB2312"/>
                <w:sz w:val="21"/>
              </w:rPr>
              <w:t>31.73万元，维护周期1年。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二、服务内容</w:t>
            </w:r>
            <w:r>
              <w:rPr>
                <w:rFonts w:ascii="仿宋_GB2312" w:hAnsi="仿宋_GB2312" w:cs="仿宋_GB2312" w:eastAsia="仿宋_GB2312"/>
                <w:sz w:val="21"/>
                <w:b/>
              </w:rPr>
              <w:t>及要求</w:t>
            </w:r>
            <w:r>
              <w:rPr>
                <w:rFonts w:ascii="仿宋_GB2312" w:hAnsi="仿宋_GB2312" w:cs="仿宋_GB2312" w:eastAsia="仿宋_GB2312"/>
                <w:sz w:val="21"/>
                <w:b/>
              </w:rPr>
              <w:t>（包括工作区域、工作内容</w:t>
            </w:r>
            <w:r>
              <w:rPr>
                <w:rFonts w:ascii="仿宋_GB2312" w:hAnsi="仿宋_GB2312" w:cs="仿宋_GB2312" w:eastAsia="仿宋_GB2312"/>
                <w:sz w:val="21"/>
                <w:b/>
              </w:rPr>
              <w:t>、</w:t>
            </w:r>
            <w:r>
              <w:rPr>
                <w:rFonts w:ascii="仿宋_GB2312" w:hAnsi="仿宋_GB2312" w:cs="仿宋_GB2312" w:eastAsia="仿宋_GB2312"/>
                <w:sz w:val="21"/>
                <w:b/>
              </w:rPr>
              <w:t>人员配置、专业设备、服务标准等）</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、短信服务</w:t>
            </w:r>
          </w:p>
          <w:p>
            <w:pPr>
              <w:pStyle w:val="null3"/>
              <w:ind w:firstLine="420"/>
              <w:jc w:val="both"/>
            </w:pPr>
            <w:r>
              <w:rPr>
                <w:rFonts w:ascii="仿宋_GB2312" w:hAnsi="仿宋_GB2312" w:cs="仿宋_GB2312" w:eastAsia="仿宋_GB2312"/>
                <w:sz w:val="21"/>
              </w:rPr>
              <w:t>升级短信平台每年发送短信数量的技术要求：在现有平台下可以完成以下短信发送规则的短信，短信内容可以根据需要实时自定义。保证承诺短信发送数量不少于</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2250000</w:t>
            </w:r>
            <w:r>
              <w:rPr>
                <w:rFonts w:ascii="仿宋_GB2312" w:hAnsi="仿宋_GB2312" w:cs="仿宋_GB2312" w:eastAsia="仿宋_GB2312"/>
                <w:sz w:val="21"/>
              </w:rPr>
              <w:t>条。</w:t>
            </w:r>
          </w:p>
          <w:p>
            <w:pPr>
              <w:pStyle w:val="null3"/>
              <w:jc w:val="both"/>
            </w:pPr>
            <w:r>
              <w:rPr>
                <w:rFonts w:ascii="仿宋_GB2312" w:hAnsi="仿宋_GB2312" w:cs="仿宋_GB2312" w:eastAsia="仿宋_GB2312"/>
                <w:sz w:val="21"/>
              </w:rPr>
              <w:t>1、对于献血的献血者在献血成功后，发送感谢短信。</w:t>
            </w:r>
          </w:p>
          <w:p>
            <w:pPr>
              <w:pStyle w:val="null3"/>
              <w:jc w:val="both"/>
            </w:pPr>
            <w:r>
              <w:rPr>
                <w:rFonts w:ascii="仿宋_GB2312" w:hAnsi="仿宋_GB2312" w:cs="仿宋_GB2312" w:eastAsia="仿宋_GB2312"/>
                <w:sz w:val="21"/>
              </w:rPr>
              <w:t>2、对献血的献血者检验结果合格的献血者发送合格反馈信息。</w:t>
            </w:r>
          </w:p>
          <w:p>
            <w:pPr>
              <w:pStyle w:val="null3"/>
              <w:jc w:val="both"/>
            </w:pPr>
            <w:r>
              <w:rPr>
                <w:rFonts w:ascii="仿宋_GB2312" w:hAnsi="仿宋_GB2312" w:cs="仿宋_GB2312" w:eastAsia="仿宋_GB2312"/>
                <w:sz w:val="21"/>
              </w:rPr>
              <w:t>3、对于半年前献血的献血者发送献血间隔时间可以再次献血的献血提醒。（全血每年最多2次，此规则按照全年献血人次X2计算。血小板间隔时间短，且血小板捐献者相对固定，不计入发送规则）</w:t>
            </w:r>
          </w:p>
          <w:p>
            <w:pPr>
              <w:pStyle w:val="null3"/>
              <w:jc w:val="both"/>
            </w:pPr>
            <w:r>
              <w:rPr>
                <w:rFonts w:ascii="仿宋_GB2312" w:hAnsi="仿宋_GB2312" w:cs="仿宋_GB2312" w:eastAsia="仿宋_GB2312"/>
                <w:sz w:val="21"/>
              </w:rPr>
              <w:t>4、对1前年献血的献血者，在每年6月14日，发送“世界无偿献血者日”的感谢及祝贺短信。</w:t>
            </w:r>
          </w:p>
          <w:p>
            <w:pPr>
              <w:pStyle w:val="null3"/>
              <w:jc w:val="both"/>
            </w:pPr>
            <w:r>
              <w:rPr>
                <w:rFonts w:ascii="仿宋_GB2312" w:hAnsi="仿宋_GB2312" w:cs="仿宋_GB2312" w:eastAsia="仿宋_GB2312"/>
                <w:sz w:val="21"/>
              </w:rPr>
              <w:t>5、对一年内献血的献血者发送生日祝福短信。</w:t>
            </w:r>
          </w:p>
          <w:p>
            <w:pPr>
              <w:pStyle w:val="null3"/>
              <w:jc w:val="both"/>
            </w:pPr>
            <w:r>
              <w:rPr>
                <w:rFonts w:ascii="仿宋_GB2312" w:hAnsi="仿宋_GB2312" w:cs="仿宋_GB2312" w:eastAsia="仿宋_GB2312"/>
                <w:sz w:val="21"/>
              </w:rPr>
              <w:t>6、对一年内献血的献血者发送春节祝福短信。</w:t>
            </w:r>
          </w:p>
          <w:p>
            <w:pPr>
              <w:pStyle w:val="null3"/>
              <w:jc w:val="both"/>
            </w:pPr>
            <w:r>
              <w:rPr>
                <w:rFonts w:ascii="仿宋_GB2312" w:hAnsi="仿宋_GB2312" w:cs="仿宋_GB2312" w:eastAsia="仿宋_GB2312"/>
                <w:sz w:val="21"/>
              </w:rPr>
              <w:t>7、网站建设与微信平台建设后各类查询所增加的验证码需求。</w:t>
            </w:r>
          </w:p>
          <w:p>
            <w:pPr>
              <w:pStyle w:val="null3"/>
              <w:jc w:val="both"/>
            </w:pPr>
            <w:r>
              <w:rPr>
                <w:rFonts w:ascii="仿宋_GB2312" w:hAnsi="仿宋_GB2312" w:cs="仿宋_GB2312" w:eastAsia="仿宋_GB2312"/>
                <w:sz w:val="21"/>
              </w:rPr>
              <w:t>8、自定义内容和数量发送日常献血淡季以及库存偏型的招募短信。</w:t>
            </w:r>
          </w:p>
          <w:p>
            <w:pPr>
              <w:pStyle w:val="null3"/>
              <w:jc w:val="both"/>
            </w:pPr>
            <w:r>
              <w:rPr>
                <w:rFonts w:ascii="仿宋_GB2312" w:hAnsi="仿宋_GB2312" w:cs="仿宋_GB2312" w:eastAsia="仿宋_GB2312"/>
                <w:sz w:val="21"/>
              </w:rPr>
              <w:t>9、献血者的血液在临床用血后的告知短信。</w:t>
            </w:r>
          </w:p>
          <w:p>
            <w:pPr>
              <w:pStyle w:val="null3"/>
              <w:jc w:val="both"/>
              <w:outlineLvl w:val="2"/>
            </w:pPr>
            <w:r>
              <w:rPr>
                <w:rFonts w:ascii="仿宋_GB2312" w:hAnsi="仿宋_GB2312" w:cs="仿宋_GB2312" w:eastAsia="仿宋_GB2312"/>
                <w:sz w:val="21"/>
                <w:b/>
              </w:rPr>
              <w:t>2.2、微信年度运维服务</w:t>
            </w:r>
          </w:p>
          <w:tbl>
            <w:tblPr>
              <w:tblBorders>
                <w:top w:val="none" w:color="000000" w:sz="4"/>
                <w:left w:val="none" w:color="000000" w:sz="4"/>
                <w:bottom w:val="none" w:color="000000" w:sz="4"/>
                <w:right w:val="none" w:color="000000" w:sz="4"/>
                <w:insideH w:val="none"/>
                <w:insideV w:val="none"/>
              </w:tblBorders>
            </w:tblPr>
            <w:tblGrid>
              <w:gridCol w:w="289"/>
              <w:gridCol w:w="440"/>
              <w:gridCol w:w="1744"/>
            </w:tblGrid>
            <w:tr>
              <w:tc>
                <w:tcPr>
                  <w:tcW w:type="dxa" w:w="2473"/>
                  <w:gridSpan w:val="3"/>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微信平台菜单功能需求</w:t>
                  </w:r>
                </w:p>
              </w:tc>
            </w:tr>
            <w:tr>
              <w:tc>
                <w:tcPr>
                  <w:tcW w:type="dxa" w:w="289"/>
                  <w:tcBorders>
                    <w:top w:val="none" w:color="000000" w:sz="4"/>
                    <w:left w:val="single" w:color="000000" w:sz="4"/>
                    <w:bottom w:val="non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一级菜单</w:t>
                  </w:r>
                </w:p>
              </w:tc>
              <w:tc>
                <w:tcPr>
                  <w:tcW w:type="dxa" w:w="440"/>
                  <w:tcBorders>
                    <w:top w:val="none" w:color="000000" w:sz="4"/>
                    <w:left w:val="none" w:color="000000" w:sz="4"/>
                    <w:bottom w:val="non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二级菜单</w:t>
                  </w:r>
                </w:p>
              </w:tc>
              <w:tc>
                <w:tcPr>
                  <w:tcW w:type="dxa" w:w="1744"/>
                  <w:tcBorders>
                    <w:top w:val="none" w:color="000000" w:sz="4"/>
                    <w:left w:val="none" w:color="000000" w:sz="4"/>
                    <w:bottom w:val="none" w:color="000000" w:sz="4"/>
                    <w:right w:val="single" w:color="000000" w:sz="4"/>
                  </w:tcBorders>
                  <w:shd w:fill="C0C0C0"/>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功能说明</w:t>
                  </w:r>
                </w:p>
              </w:tc>
            </w:tr>
            <w:tr>
              <w:tc>
                <w:tcPr>
                  <w:tcW w:type="dxa" w:w="2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献血资讯</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献血知识</w:t>
                  </w:r>
                </w:p>
              </w:tc>
              <w:tc>
                <w:tcPr>
                  <w:tcW w:type="dxa" w:w="1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点击菜单推送</w:t>
                  </w:r>
                  <w:r>
                    <w:rPr>
                      <w:rFonts w:ascii="仿宋_GB2312" w:hAnsi="仿宋_GB2312" w:cs="仿宋_GB2312" w:eastAsia="仿宋_GB2312"/>
                      <w:sz w:val="21"/>
                    </w:rPr>
                    <w:t>5条献血知识，显示概要图文列表，点击列表项跳转到献血常识详细页面。内容可收藏、分享。</w:t>
                  </w:r>
                </w:p>
              </w:tc>
            </w:tr>
            <w:tr>
              <w:tc>
                <w:tcPr>
                  <w:tcW w:type="dxa" w:w="289"/>
                  <w:vMerge/>
                  <w:tcBorders>
                    <w:top w:val="singl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献血流程</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图文形式显示血站献血流程。内容可收藏、分享</w:t>
                  </w:r>
                </w:p>
              </w:tc>
            </w:tr>
            <w:tr>
              <w:tc>
                <w:tcPr>
                  <w:tcW w:type="dxa" w:w="289"/>
                  <w:vMerge/>
                  <w:tcBorders>
                    <w:top w:val="singl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报销政策</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图文形式显示血站报销政策。内容可收藏、分享</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爱献血</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献血导航</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显示近期采血计划概要信息列表，点击显示采血计划的图文内容，内容可收藏分享。</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用血报销</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献血后血费报销实时查询，输入身份证号码和手机号码，系统核对与献血档案一致性后发送验证码短信。填写验证码后显示：献血总量、已报销量、可报销量、报销须知。</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献血预约</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输入姓名、身份证号码、选择献血形式后自动核查献血状态和献血间隔；预约信息可以再</w:t>
                  </w:r>
                  <w:r>
                    <w:rPr>
                      <w:rFonts w:ascii="仿宋_GB2312" w:hAnsi="仿宋_GB2312" w:cs="仿宋_GB2312" w:eastAsia="仿宋_GB2312"/>
                      <w:sz w:val="21"/>
                    </w:rPr>
                    <w:t>shinow9.0中进行跟踪</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本地天气</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推送最近</w:t>
                  </w:r>
                  <w:r>
                    <w:rPr>
                      <w:rFonts w:ascii="仿宋_GB2312" w:hAnsi="仿宋_GB2312" w:cs="仿宋_GB2312" w:eastAsia="仿宋_GB2312"/>
                      <w:sz w:val="21"/>
                    </w:rPr>
                    <w:t>3天的天气预报，当前城市可配置。</w:t>
                  </w:r>
                  <w:r>
                    <w:br/>
                  </w:r>
                  <w:r>
                    <w:rPr>
                      <w:rFonts w:ascii="仿宋_GB2312" w:hAnsi="仿宋_GB2312" w:cs="仿宋_GB2312" w:eastAsia="仿宋_GB2312"/>
                      <w:sz w:val="21"/>
                    </w:rPr>
                    <w:t>用户也可输入关键字，如：西安天气，自主查询。</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个人中心</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点击菜单打开用户个人中心，展示用户</w:t>
                  </w:r>
                  <w:r>
                    <w:rPr>
                      <w:rFonts w:ascii="仿宋_GB2312" w:hAnsi="仿宋_GB2312" w:cs="仿宋_GB2312" w:eastAsia="仿宋_GB2312"/>
                      <w:sz w:val="21"/>
                    </w:rPr>
                    <w:t>ABO和RH血型，最近一次献血信息，全血和单采献血次数、血量。展示献血服务其他功能；</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血检查询</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输入身份证号码和手机号码，系统核对与献血档案一致性后发送验证码短信。填写验证码后显示最后一次献血的检测结果。</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献血足迹</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献血者输入身份证号码和手机号码，系统核对与献血档案一致性后发送验证码短信。填写验证码后按时间轴方式显示献血历程，可查看每次献血信息。</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微投稿</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用户实名认证后可投稿，投稿形式包括图文，可查看个人投稿列表。</w:t>
                  </w:r>
                  <w:r>
                    <w:br/>
                  </w:r>
                  <w:r>
                    <w:rPr>
                      <w:rFonts w:ascii="仿宋_GB2312" w:hAnsi="仿宋_GB2312" w:cs="仿宋_GB2312" w:eastAsia="仿宋_GB2312"/>
                      <w:sz w:val="21"/>
                    </w:rPr>
                    <w:t>管理后台可管理投稿，将采纳的图片转到素材库备用。</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服务评价</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点击菜单打开满意度调查问卷，选择问题后提交调查结果；</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微官网</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血站简介</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显示血站简介的图文内容。内容可收藏、分享</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献血常识</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显示献血常识概要信息列表，点击显示献血常识的图文内容。内容可收藏、分享</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政策法规</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显示政策法规概要信息列表，点击显示政策法规的图文内容。内容可收藏、分享</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血站动态</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显示血站动态概要信息列表，点击显示血站动态的图文内容。内容可收藏、分享</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临床用血</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显示临床用血概要信息列表，点击显示临床用血的图文内容。内容可收藏、分享</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献血表彰</w:t>
                  </w:r>
                </w:p>
              </w:tc>
              <w:tc>
                <w:tcPr>
                  <w:tcW w:type="dxa" w:w="1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显示献血表彰概要信息列表，点击显示献血表彰的图文内容。内容可收藏、分享</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稀有血型</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显示稀有血型概要信息列表，点击显示稀有血型的图文内容。内容可收藏、分享</w:t>
                  </w:r>
                </w:p>
              </w:tc>
            </w:tr>
            <w:tr>
              <w:tc>
                <w:tcPr>
                  <w:tcW w:type="dxa" w:w="289"/>
                  <w:vMerge/>
                  <w:tcBorders>
                    <w:top w:val="none" w:color="000000" w:sz="4"/>
                    <w:left w:val="singl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血情公示（血液库存）</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调用</w:t>
                  </w:r>
                  <w:r>
                    <w:rPr>
                      <w:rFonts w:ascii="仿宋_GB2312" w:hAnsi="仿宋_GB2312" w:cs="仿宋_GB2312" w:eastAsia="仿宋_GB2312"/>
                      <w:sz w:val="21"/>
                    </w:rPr>
                    <w:t>SHINOW 9.0接口获取库存信息，按照9.0中定义的显示方式图形化显示库存情况</w:t>
                  </w:r>
                </w:p>
              </w:tc>
            </w:tr>
          </w:tbl>
          <w:p>
            <w:pPr>
              <w:pStyle w:val="null3"/>
              <w:jc w:val="both"/>
              <w:outlineLvl w:val="2"/>
            </w:pPr>
            <w:r>
              <w:rPr>
                <w:rFonts w:ascii="仿宋_GB2312" w:hAnsi="仿宋_GB2312" w:cs="仿宋_GB2312" w:eastAsia="仿宋_GB2312"/>
                <w:sz w:val="21"/>
                <w:b/>
              </w:rPr>
              <w:t>2.3、业务系统网络安全监测系统</w:t>
            </w:r>
          </w:p>
          <w:tbl>
            <w:tblPr>
              <w:tblInd w:type="dxa" w:w="120"/>
              <w:tblBorders>
                <w:top w:val="none" w:color="000000" w:sz="4"/>
                <w:left w:val="none" w:color="000000" w:sz="4"/>
                <w:bottom w:val="none" w:color="000000" w:sz="4"/>
                <w:right w:val="none" w:color="000000" w:sz="4"/>
                <w:insideH w:val="none"/>
                <w:insideV w:val="none"/>
              </w:tblBorders>
            </w:tblPr>
            <w:tblGrid>
              <w:gridCol w:w="615"/>
              <w:gridCol w:w="1938"/>
            </w:tblGrid>
            <w:tr>
              <w:tc>
                <w:tcPr>
                  <w:tcW w:type="dxa" w:w="6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功能及技术指标</w:t>
                  </w:r>
                </w:p>
              </w:tc>
              <w:tc>
                <w:tcPr>
                  <w:tcW w:type="dxa" w:w="19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参数要求</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性能要求</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性能指标：</w:t>
                  </w:r>
                  <w:r>
                    <w:rPr>
                      <w:rFonts w:ascii="仿宋_GB2312" w:hAnsi="仿宋_GB2312" w:cs="仿宋_GB2312" w:eastAsia="仿宋_GB2312"/>
                      <w:sz w:val="21"/>
                    </w:rPr>
                    <w:t>≥1Gbps，硬件指标：≥SSD 64G、≥4个千兆电口+2个千兆光口；</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基础检测功能</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具备报文检测引擎</w:t>
                  </w:r>
                  <w:r>
                    <w:rPr>
                      <w:rFonts w:ascii="仿宋_GB2312" w:hAnsi="仿宋_GB2312" w:cs="仿宋_GB2312" w:eastAsia="仿宋_GB2312"/>
                      <w:sz w:val="21"/>
                    </w:rPr>
                    <w:t>,可实现IP碎片重组、TCP流重组、应用层协议识别与解析等,  具备多种的入侵攻击模式或恶意URL监测模式,可完成模式匹配并生成事件,可提取URL记录和 域名记录,在特征事件触发时可以基于五元组和二元组(IP对)进行原始报文的录制。</w:t>
                  </w:r>
                </w:p>
              </w:tc>
            </w:tr>
            <w:tr>
              <w:tc>
                <w:tcPr>
                  <w:tcW w:type="dxa" w:w="6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高级检测</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5种类型日志传输模式,包含标准模式、精简模式、高级模式、局域网模式、自定义模式，适应不同应用场景需求</w:t>
                  </w:r>
                </w:p>
              </w:tc>
            </w:tr>
            <w:tr>
              <w:tc>
                <w:tcPr>
                  <w:tcW w:type="dxa" w:w="615"/>
                  <w:vMerge/>
                  <w:tcBorders>
                    <w:top w:val="none" w:color="000000" w:sz="4"/>
                    <w:left w:val="single" w:color="000000" w:sz="4"/>
                    <w:bottom w:val="none" w:color="000000" w:sz="4"/>
                    <w:right w:val="single" w:color="000000" w:sz="4"/>
                  </w:tcBorders>
                </w:tcP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★支持DNS审计日志，主要用于平台dns flow分析引擎进行安全分析；HTTP审计日志，主要用于平台http flow分析引擎进行安全分析；SMB审计日志，主要用于平台SMB flow分析引擎进行安全分析；同步SMTP、POP3、IMAP审计日志，主要用于平台Mail flow分析引擎进行安全分析，同步AD域协议审计日志，主要用于平台AD域分析引擎进行安全分析（提供截图证明）</w:t>
                  </w:r>
                </w:p>
              </w:tc>
            </w:tr>
            <w:tr>
              <w:tc>
                <w:tcPr>
                  <w:tcW w:type="dxa" w:w="6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Web应用安全检测能力</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支持针对</w:t>
                  </w:r>
                  <w:r>
                    <w:rPr>
                      <w:rFonts w:ascii="仿宋_GB2312" w:hAnsi="仿宋_GB2312" w:cs="仿宋_GB2312" w:eastAsia="仿宋_GB2312"/>
                      <w:sz w:val="21"/>
                    </w:rPr>
                    <w:t>B/S架构应用抵御SQL注入、XSS、系统命令等注入型攻击；支持跨站请求伪造CSRF攻击检测；支持对ASP,PHP,JSP等主流脚本语言编写的webshell后门脚本上传的检测；支持其他类型的Web攻击，如文件包含，目录遍历，信息泄露攻击等的检测；</w:t>
                  </w:r>
                </w:p>
              </w:tc>
            </w:tr>
            <w:tr>
              <w:tc>
                <w:tcPr>
                  <w:tcW w:type="dxa" w:w="615"/>
                  <w:vMerge/>
                  <w:tcBorders>
                    <w:top w:val="none" w:color="000000" w:sz="4"/>
                    <w:left w:val="single" w:color="000000" w:sz="4"/>
                    <w:bottom w:val="none" w:color="000000" w:sz="4"/>
                    <w:right w:val="single" w:color="000000" w:sz="4"/>
                  </w:tcBorders>
                </w:tcP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产品应具备独立的</w:t>
                  </w:r>
                  <w:r>
                    <w:rPr>
                      <w:rFonts w:ascii="仿宋_GB2312" w:hAnsi="仿宋_GB2312" w:cs="仿宋_GB2312" w:eastAsia="仿宋_GB2312"/>
                      <w:sz w:val="21"/>
                    </w:rPr>
                    <w:t>Web应用检测规则库，Web应用检测规则总数在3000条以上；</w:t>
                  </w:r>
                </w:p>
              </w:tc>
            </w:tr>
            <w:tr>
              <w:tc>
                <w:tcPr>
                  <w:tcW w:type="dxa" w:w="615"/>
                  <w:vMerge/>
                  <w:tcBorders>
                    <w:top w:val="none" w:color="000000" w:sz="4"/>
                    <w:left w:val="single" w:color="000000" w:sz="4"/>
                    <w:bottom w:val="none" w:color="000000" w:sz="4"/>
                    <w:right w:val="single" w:color="000000" w:sz="4"/>
                  </w:tcBorders>
                </w:tcP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支持敏感数据泄密功能检测能力，支持敏感信息自定义，支持根据文件类型和敏感关键字进行信息过滤；</w:t>
                  </w:r>
                </w:p>
              </w:tc>
            </w:tr>
            <w:tr>
              <w:tc>
                <w:tcPr>
                  <w:tcW w:type="dxa" w:w="615"/>
                  <w:vMerge/>
                  <w:tcBorders>
                    <w:top w:val="none" w:color="000000" w:sz="4"/>
                    <w:left w:val="single" w:color="000000" w:sz="4"/>
                    <w:bottom w:val="none" w:color="000000" w:sz="4"/>
                    <w:right w:val="single" w:color="000000" w:sz="4"/>
                  </w:tcBorders>
                </w:tcP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支持对被</w:t>
                  </w:r>
                  <w:r>
                    <w:rPr>
                      <w:rFonts w:ascii="仿宋_GB2312" w:hAnsi="仿宋_GB2312" w:cs="仿宋_GB2312" w:eastAsia="仿宋_GB2312"/>
                      <w:sz w:val="21"/>
                    </w:rPr>
                    <w:t>Web网站是否被挂黑链进行检测</w:t>
                  </w:r>
                </w:p>
              </w:tc>
            </w:tr>
            <w:tr>
              <w:tc>
                <w:tcPr>
                  <w:tcW w:type="dxa" w:w="6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僵尸网络检测</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★支持对终端种植了远控木马或者病毒等恶意软件进行检测，并且能够对检测到的恶意软件行为进行深入的分析，展示和外部命令控制服务器的交互行为和其他可疑行为；（提供截图证明）</w:t>
                  </w:r>
                </w:p>
              </w:tc>
            </w:tr>
            <w:tr>
              <w:tc>
                <w:tcPr>
                  <w:tcW w:type="dxa" w:w="615"/>
                  <w:vMerge/>
                  <w:tcBorders>
                    <w:top w:val="none" w:color="000000" w:sz="4"/>
                    <w:left w:val="single" w:color="000000" w:sz="4"/>
                    <w:bottom w:val="none" w:color="000000" w:sz="4"/>
                    <w:right w:val="single" w:color="000000" w:sz="4"/>
                  </w:tcBorders>
                </w:tcP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具备独立的僵尸主机识别特征库，恶意软件识别特征总数在</w:t>
                  </w:r>
                  <w:r>
                    <w:rPr>
                      <w:rFonts w:ascii="仿宋_GB2312" w:hAnsi="仿宋_GB2312" w:cs="仿宋_GB2312" w:eastAsia="仿宋_GB2312"/>
                      <w:sz w:val="21"/>
                    </w:rPr>
                    <w:t>35万条以上；</w:t>
                  </w:r>
                </w:p>
              </w:tc>
            </w:tr>
            <w:tr>
              <w:tc>
                <w:tcPr>
                  <w:tcW w:type="dxa" w:w="615"/>
                  <w:vMerge/>
                  <w:tcBorders>
                    <w:top w:val="none" w:color="000000" w:sz="4"/>
                    <w:left w:val="single" w:color="000000" w:sz="4"/>
                    <w:bottom w:val="none" w:color="000000" w:sz="4"/>
                    <w:right w:val="single" w:color="000000" w:sz="4"/>
                  </w:tcBorders>
                </w:tcP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对于未知威胁具备同云端安全分析引擎进行联动的能力，上报可疑行为并在云端进行沙盒检测，并下发威胁特征；</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违规访问检测</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能够针对</w:t>
                  </w:r>
                  <w:r>
                    <w:rPr>
                      <w:rFonts w:ascii="仿宋_GB2312" w:hAnsi="仿宋_GB2312" w:cs="仿宋_GB2312" w:eastAsia="仿宋_GB2312"/>
                      <w:sz w:val="21"/>
                    </w:rPr>
                    <w:t>IP，IP组，服务，端口，访问时间等策略，主动建立针对性的业务和应用访问逻辑规则，包括白名单（哪些访问逻辑是正常的）和黑名单（哪些访问逻辑肯定是异常的）两种方式</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抓包分析</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★支持通过设备对流量进行抓包分析，可定义抓包数量、接口、IP地址、端口或自定义过滤表达式（提供截图证明）</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产品资质</w:t>
                  </w:r>
                </w:p>
              </w:tc>
              <w:tc>
                <w:tcPr>
                  <w:tcW w:type="dxa" w:w="1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要求具备公安颁发的网络入侵检测系统销售许可证</w:t>
                  </w:r>
                </w:p>
              </w:tc>
            </w:tr>
          </w:tbl>
          <w:p>
            <w:pPr>
              <w:pStyle w:val="null3"/>
              <w:jc w:val="both"/>
              <w:outlineLvl w:val="2"/>
            </w:pPr>
            <w:r>
              <w:rPr>
                <w:rFonts w:ascii="仿宋_GB2312" w:hAnsi="仿宋_GB2312" w:cs="仿宋_GB2312" w:eastAsia="仿宋_GB2312"/>
                <w:sz w:val="21"/>
                <w:b/>
              </w:rPr>
              <w:t>2.4、容灾及应急服务</w:t>
            </w:r>
          </w:p>
          <w:p>
            <w:pPr>
              <w:pStyle w:val="null3"/>
              <w:jc w:val="both"/>
            </w:pPr>
            <w:r>
              <w:rPr>
                <w:rFonts w:ascii="仿宋_GB2312" w:hAnsi="仿宋_GB2312" w:cs="仿宋_GB2312" w:eastAsia="仿宋_GB2312"/>
                <w:sz w:val="21"/>
              </w:rPr>
              <w:t>1.技术及功能要求</w:t>
            </w:r>
          </w:p>
          <w:p>
            <w:pPr>
              <w:pStyle w:val="null3"/>
              <w:jc w:val="both"/>
            </w:pPr>
            <w:r>
              <w:rPr>
                <w:rFonts w:ascii="仿宋_GB2312" w:hAnsi="仿宋_GB2312" w:cs="仿宋_GB2312" w:eastAsia="仿宋_GB2312"/>
                <w:sz w:val="21"/>
              </w:rPr>
              <w:t>1.1数据存储管理</w:t>
            </w:r>
          </w:p>
          <w:p>
            <w:pPr>
              <w:pStyle w:val="null3"/>
              <w:jc w:val="both"/>
            </w:pPr>
            <w:r>
              <w:rPr>
                <w:rFonts w:ascii="仿宋_GB2312" w:hAnsi="仿宋_GB2312" w:cs="仿宋_GB2312" w:eastAsia="仿宋_GB2312"/>
                <w:sz w:val="21"/>
              </w:rPr>
              <w:t>数据存储管理指对于计算机系统数据存储相关的一系列操作（如备份、归档、恢复等）进行的统一管理。</w:t>
            </w:r>
          </w:p>
          <w:p>
            <w:pPr>
              <w:pStyle w:val="null3"/>
              <w:jc w:val="both"/>
            </w:pPr>
            <w:r>
              <w:rPr>
                <w:rFonts w:ascii="仿宋_GB2312" w:hAnsi="仿宋_GB2312" w:cs="仿宋_GB2312" w:eastAsia="仿宋_GB2312"/>
                <w:sz w:val="21"/>
              </w:rPr>
              <w:t>数据存储管理包括数据备份、数据恢复、备份索引、备份设备及媒体和灾难恢复等。</w:t>
            </w:r>
          </w:p>
          <w:p>
            <w:pPr>
              <w:pStyle w:val="null3"/>
              <w:jc w:val="both"/>
            </w:pPr>
            <w:r>
              <w:rPr>
                <w:rFonts w:ascii="仿宋_GB2312" w:hAnsi="仿宋_GB2312" w:cs="仿宋_GB2312" w:eastAsia="仿宋_GB2312"/>
                <w:sz w:val="21"/>
              </w:rPr>
              <w:t>1.2数据复制</w:t>
            </w:r>
          </w:p>
          <w:p>
            <w:pPr>
              <w:pStyle w:val="null3"/>
              <w:jc w:val="both"/>
            </w:pPr>
            <w:r>
              <w:rPr>
                <w:rFonts w:ascii="仿宋_GB2312" w:hAnsi="仿宋_GB2312" w:cs="仿宋_GB2312" w:eastAsia="仿宋_GB2312"/>
                <w:sz w:val="21"/>
              </w:rPr>
              <w:t>数据复制即将一个地点的数据拷贝到另一个不同的物理点上的过程。</w:t>
            </w:r>
          </w:p>
          <w:p>
            <w:pPr>
              <w:pStyle w:val="null3"/>
              <w:jc w:val="both"/>
            </w:pPr>
            <w:r>
              <w:rPr>
                <w:rFonts w:ascii="仿宋_GB2312" w:hAnsi="仿宋_GB2312" w:cs="仿宋_GB2312" w:eastAsia="仿宋_GB2312"/>
                <w:sz w:val="21"/>
              </w:rPr>
              <w:t>数据复制分为同步数据复制和异步数据复制。</w:t>
            </w:r>
          </w:p>
          <w:p>
            <w:pPr>
              <w:pStyle w:val="null3"/>
              <w:jc w:val="both"/>
            </w:pPr>
            <w:r>
              <w:rPr>
                <w:rFonts w:ascii="仿宋_GB2312" w:hAnsi="仿宋_GB2312" w:cs="仿宋_GB2312" w:eastAsia="仿宋_GB2312"/>
                <w:sz w:val="21"/>
              </w:rPr>
              <w:t>1.3可用性验证</w:t>
            </w:r>
          </w:p>
          <w:p>
            <w:pPr>
              <w:pStyle w:val="null3"/>
              <w:jc w:val="both"/>
            </w:pPr>
            <w:r>
              <w:rPr>
                <w:rFonts w:ascii="仿宋_GB2312" w:hAnsi="仿宋_GB2312" w:cs="仿宋_GB2312" w:eastAsia="仿宋_GB2312"/>
                <w:sz w:val="21"/>
              </w:rPr>
              <w:t>可以对备份节点的可用性进行验证，保障故障发生时备份节点有效。</w:t>
            </w:r>
          </w:p>
          <w:p>
            <w:pPr>
              <w:pStyle w:val="null3"/>
              <w:jc w:val="both"/>
            </w:pPr>
            <w:r>
              <w:rPr>
                <w:rFonts w:ascii="仿宋_GB2312" w:hAnsi="仿宋_GB2312" w:cs="仿宋_GB2312" w:eastAsia="仿宋_GB2312"/>
                <w:sz w:val="21"/>
              </w:rPr>
              <w:t>1.4应急演练</w:t>
            </w:r>
          </w:p>
          <w:p>
            <w:pPr>
              <w:pStyle w:val="null3"/>
              <w:jc w:val="both"/>
            </w:pPr>
            <w:r>
              <w:rPr>
                <w:rFonts w:ascii="仿宋_GB2312" w:hAnsi="仿宋_GB2312" w:cs="仿宋_GB2312" w:eastAsia="仿宋_GB2312"/>
                <w:sz w:val="21"/>
              </w:rPr>
              <w:t>可以模拟灾难发生的情况，对应急系统进行验证。</w:t>
            </w:r>
          </w:p>
          <w:p>
            <w:pPr>
              <w:pStyle w:val="null3"/>
              <w:jc w:val="both"/>
            </w:pPr>
            <w:r>
              <w:rPr>
                <w:rFonts w:ascii="仿宋_GB2312" w:hAnsi="仿宋_GB2312" w:cs="仿宋_GB2312" w:eastAsia="仿宋_GB2312"/>
                <w:sz w:val="21"/>
              </w:rPr>
              <w:t>1.5系统迁移</w:t>
            </w:r>
          </w:p>
          <w:p>
            <w:pPr>
              <w:pStyle w:val="null3"/>
              <w:jc w:val="both"/>
            </w:pPr>
            <w:r>
              <w:rPr>
                <w:rFonts w:ascii="仿宋_GB2312" w:hAnsi="仿宋_GB2312" w:cs="仿宋_GB2312" w:eastAsia="仿宋_GB2312"/>
                <w:sz w:val="21"/>
              </w:rPr>
              <w:t>主点发生灾难后，应用能够迁移到灾备系统。</w:t>
            </w:r>
          </w:p>
          <w:p>
            <w:pPr>
              <w:pStyle w:val="null3"/>
              <w:jc w:val="both"/>
            </w:pPr>
            <w:r>
              <w:rPr>
                <w:rFonts w:ascii="仿宋_GB2312" w:hAnsi="仿宋_GB2312" w:cs="仿宋_GB2312" w:eastAsia="仿宋_GB2312"/>
                <w:sz w:val="21"/>
              </w:rPr>
              <w:t xml:space="preserve">1.6实现shinow9.0业务系统的数据同机房内的异地实时容灾切换  </w:t>
            </w:r>
          </w:p>
          <w:p>
            <w:pPr>
              <w:pStyle w:val="null3"/>
              <w:jc w:val="both"/>
            </w:pPr>
            <w:r>
              <w:rPr>
                <w:rFonts w:ascii="仿宋_GB2312" w:hAnsi="仿宋_GB2312" w:cs="仿宋_GB2312" w:eastAsia="仿宋_GB2312"/>
                <w:sz w:val="21"/>
              </w:rPr>
              <w:t>2.灾备服务及支持</w:t>
            </w:r>
          </w:p>
          <w:p>
            <w:pPr>
              <w:pStyle w:val="null3"/>
              <w:jc w:val="both"/>
            </w:pPr>
            <w:r>
              <w:rPr>
                <w:rFonts w:ascii="仿宋_GB2312" w:hAnsi="仿宋_GB2312" w:cs="仿宋_GB2312" w:eastAsia="仿宋_GB2312"/>
                <w:sz w:val="21"/>
              </w:rPr>
              <w:t>2.1数据库、web系统升级</w:t>
            </w:r>
          </w:p>
          <w:p>
            <w:pPr>
              <w:pStyle w:val="null3"/>
              <w:jc w:val="both"/>
            </w:pPr>
            <w:r>
              <w:rPr>
                <w:rFonts w:ascii="仿宋_GB2312" w:hAnsi="仿宋_GB2312" w:cs="仿宋_GB2312" w:eastAsia="仿宋_GB2312"/>
                <w:sz w:val="21"/>
              </w:rPr>
              <w:t>对现有</w:t>
            </w:r>
            <w:r>
              <w:rPr>
                <w:rFonts w:ascii="仿宋_GB2312" w:hAnsi="仿宋_GB2312" w:cs="仿宋_GB2312" w:eastAsia="仿宋_GB2312"/>
                <w:sz w:val="21"/>
              </w:rPr>
              <w:t>9.0系统数据库及应用进行升级，实现异地备份和故障转移功能。</w:t>
            </w:r>
          </w:p>
          <w:p>
            <w:pPr>
              <w:pStyle w:val="null3"/>
              <w:jc w:val="both"/>
            </w:pPr>
            <w:r>
              <w:rPr>
                <w:rFonts w:ascii="仿宋_GB2312" w:hAnsi="仿宋_GB2312" w:cs="仿宋_GB2312" w:eastAsia="仿宋_GB2312"/>
                <w:sz w:val="21"/>
              </w:rPr>
              <w:t>2.2虚拟专网搭建</w:t>
            </w:r>
          </w:p>
          <w:p>
            <w:pPr>
              <w:pStyle w:val="null3"/>
              <w:jc w:val="both"/>
            </w:pPr>
            <w:r>
              <w:rPr>
                <w:rFonts w:ascii="仿宋_GB2312" w:hAnsi="仿宋_GB2312" w:cs="仿宋_GB2312" w:eastAsia="仿宋_GB2312"/>
                <w:sz w:val="21"/>
              </w:rPr>
              <w:t>针对血站现有网络环境，安装调试</w:t>
            </w:r>
            <w:r>
              <w:rPr>
                <w:rFonts w:ascii="仿宋_GB2312" w:hAnsi="仿宋_GB2312" w:cs="仿宋_GB2312" w:eastAsia="仿宋_GB2312"/>
                <w:sz w:val="21"/>
              </w:rPr>
              <w:t>VPN设备，通过互联网建立容灾专网，不改变原有网络结构，血站作为灾备系统的一个分支机构，与其他网络隔离，数据加密传输。</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备库性能监控、调优</w:t>
            </w:r>
          </w:p>
          <w:p>
            <w:pPr>
              <w:pStyle w:val="null3"/>
              <w:jc w:val="both"/>
            </w:pPr>
            <w:r>
              <w:rPr>
                <w:rFonts w:ascii="仿宋_GB2312" w:hAnsi="仿宋_GB2312" w:cs="仿宋_GB2312" w:eastAsia="仿宋_GB2312"/>
                <w:sz w:val="21"/>
              </w:rPr>
              <w:t>专职工程师对备库的数据库的运行情况如表空间的利用情况、磁盘空间、</w:t>
            </w:r>
            <w:r>
              <w:rPr>
                <w:rFonts w:ascii="仿宋_GB2312" w:hAnsi="仿宋_GB2312" w:cs="仿宋_GB2312" w:eastAsia="仿宋_GB2312"/>
                <w:sz w:val="21"/>
              </w:rPr>
              <w:t>CPU及内存利用情况、数据库的性能等进行监控，对与出现的问题及时进行优化调整。</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对备库的备份状态监控</w:t>
            </w:r>
          </w:p>
          <w:p>
            <w:pPr>
              <w:pStyle w:val="null3"/>
              <w:jc w:val="both"/>
            </w:pPr>
            <w:r>
              <w:rPr>
                <w:rFonts w:ascii="仿宋_GB2312" w:hAnsi="仿宋_GB2312" w:cs="仿宋_GB2312" w:eastAsia="仿宋_GB2312"/>
                <w:sz w:val="21"/>
              </w:rPr>
              <w:t>专职工程师对备库的备份状态进行监控，对可用性进行验证，保障备库的可用性，并定期向用户提供验证报告。</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协助血站进行应急演练</w:t>
            </w:r>
          </w:p>
          <w:p>
            <w:pPr>
              <w:pStyle w:val="null3"/>
              <w:jc w:val="both"/>
            </w:pPr>
            <w:r>
              <w:rPr>
                <w:rFonts w:ascii="仿宋_GB2312" w:hAnsi="仿宋_GB2312" w:cs="仿宋_GB2312" w:eastAsia="仿宋_GB2312"/>
                <w:sz w:val="21"/>
              </w:rPr>
              <w:t>根据血站的实际情况，每半年进行一次不同级别的应急演练，如模拟生产库宕机、模拟数据中心不可用的情况下的应急预案演练，保障出现灾难时能够正常生产和数据恢复。</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灾难发生时故障切换</w:t>
            </w:r>
          </w:p>
          <w:p>
            <w:pPr>
              <w:pStyle w:val="null3"/>
              <w:jc w:val="both"/>
            </w:pPr>
            <w:r>
              <w:rPr>
                <w:rFonts w:ascii="仿宋_GB2312" w:hAnsi="仿宋_GB2312" w:cs="仿宋_GB2312" w:eastAsia="仿宋_GB2312"/>
                <w:sz w:val="21"/>
              </w:rPr>
              <w:t>如数据中心发生灾难性事故，及时协助血站将</w:t>
            </w:r>
            <w:r>
              <w:rPr>
                <w:rFonts w:ascii="仿宋_GB2312" w:hAnsi="仿宋_GB2312" w:cs="仿宋_GB2312" w:eastAsia="仿宋_GB2312"/>
                <w:sz w:val="21"/>
              </w:rPr>
              <w:t>9.0系统、输血、实验室、招募等系统切换到备机，保障业务的连续性。</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故障修复及后期服务</w:t>
            </w:r>
          </w:p>
          <w:p>
            <w:pPr>
              <w:pStyle w:val="null3"/>
              <w:jc w:val="both"/>
            </w:pPr>
            <w:r>
              <w:rPr>
                <w:rFonts w:ascii="仿宋_GB2312" w:hAnsi="仿宋_GB2312" w:cs="仿宋_GB2312" w:eastAsia="仿宋_GB2312"/>
                <w:sz w:val="21"/>
              </w:rPr>
              <w:t>数据中心故障修复后，协助血站进行主节点数据迁移，并对恢复数据进行验证，保障数据的完整性和一致性，对主节点进行性能调优，针对出现的问题及时修正。</w:t>
            </w:r>
          </w:p>
          <w:p>
            <w:pPr>
              <w:pStyle w:val="null3"/>
              <w:jc w:val="both"/>
            </w:pPr>
            <w:r>
              <w:rPr>
                <w:rFonts w:ascii="仿宋_GB2312" w:hAnsi="仿宋_GB2312" w:cs="仿宋_GB2312" w:eastAsia="仿宋_GB2312"/>
                <w:sz w:val="21"/>
              </w:rPr>
              <w:t>协助客户对故障发生的原因进行分析，并针对故障具体情况提出改进和预防措施，最终避免灾难的发生。</w:t>
            </w:r>
          </w:p>
          <w:p>
            <w:pPr>
              <w:pStyle w:val="null3"/>
              <w:jc w:val="both"/>
            </w:pPr>
            <w:r>
              <w:rPr>
                <w:rFonts w:ascii="仿宋_GB2312" w:hAnsi="仿宋_GB2312" w:cs="仿宋_GB2312" w:eastAsia="仿宋_GB2312"/>
                <w:sz w:val="21"/>
              </w:rPr>
              <w:t>根据西安市中心血站要求对相关科室人员进行技术培训，使之能够熟练掌握系统使用。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3.兼容性要求</w:t>
            </w:r>
          </w:p>
          <w:p>
            <w:pPr>
              <w:pStyle w:val="null3"/>
              <w:jc w:val="both"/>
            </w:pPr>
            <w:r>
              <w:rPr>
                <w:rFonts w:ascii="仿宋_GB2312" w:hAnsi="仿宋_GB2312" w:cs="仿宋_GB2312" w:eastAsia="仿宋_GB2312"/>
                <w:sz w:val="21"/>
              </w:rPr>
              <w:t>承诺对单位目前使用的《血站管理信息系统》兼容。</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其他要求：</w:t>
            </w:r>
            <w:r>
              <w:rPr>
                <w:rFonts w:ascii="仿宋_GB2312" w:hAnsi="仿宋_GB2312" w:cs="仿宋_GB2312" w:eastAsia="仿宋_GB2312"/>
                <w:sz w:val="21"/>
              </w:rPr>
              <w:t>运维单位要设立</w:t>
            </w:r>
            <w:r>
              <w:rPr>
                <w:rFonts w:ascii="仿宋_GB2312" w:hAnsi="仿宋_GB2312" w:cs="仿宋_GB2312" w:eastAsia="仿宋_GB2312"/>
                <w:sz w:val="21"/>
              </w:rPr>
              <w:t>24小时客服热线，随时接受咨询，如有必要，需随时到场进行运维。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标的名称：信息中心机房硬件运维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西安市中心血站现有数据中心一处，承载着单位采供血、行政、后勤等重要业务数据，为确保全站业务稳定顺利运行，现拟对数据中心的硬件设备进行年度维护，包括服务器、交换机、</w:t>
            </w:r>
            <w:r>
              <w:rPr>
                <w:rFonts w:ascii="仿宋_GB2312" w:hAnsi="仿宋_GB2312" w:cs="仿宋_GB2312" w:eastAsia="仿宋_GB2312"/>
                <w:sz w:val="21"/>
              </w:rPr>
              <w:t>UPS电源、防火墙等</w:t>
            </w:r>
            <w:r>
              <w:rPr>
                <w:rFonts w:ascii="仿宋_GB2312" w:hAnsi="仿宋_GB2312" w:cs="仿宋_GB2312" w:eastAsia="仿宋_GB2312"/>
                <w:sz w:val="21"/>
              </w:rPr>
              <w:t>，预算约</w:t>
            </w:r>
            <w:r>
              <w:rPr>
                <w:rFonts w:ascii="仿宋_GB2312" w:hAnsi="仿宋_GB2312" w:cs="仿宋_GB2312" w:eastAsia="仿宋_GB2312"/>
                <w:sz w:val="21"/>
              </w:rPr>
              <w:t>4.8</w:t>
            </w:r>
            <w:r>
              <w:rPr>
                <w:rFonts w:ascii="仿宋_GB2312" w:hAnsi="仿宋_GB2312" w:cs="仿宋_GB2312" w:eastAsia="仿宋_GB2312"/>
                <w:sz w:val="21"/>
              </w:rPr>
              <w:t>万元，维护周</w:t>
            </w:r>
            <w:r>
              <w:rPr>
                <w:rFonts w:ascii="仿宋_GB2312" w:hAnsi="仿宋_GB2312" w:cs="仿宋_GB2312" w:eastAsia="仿宋_GB2312"/>
                <w:sz w:val="21"/>
              </w:rPr>
              <w:t>期</w:t>
            </w:r>
            <w:r>
              <w:rPr>
                <w:rFonts w:ascii="仿宋_GB2312" w:hAnsi="仿宋_GB2312" w:cs="仿宋_GB2312" w:eastAsia="仿宋_GB2312"/>
                <w:sz w:val="21"/>
              </w:rPr>
              <w:t>1年。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1、确保所有硬件设备正常运行。若有损坏、配置异常、配置丢失等故障，需及时提供相应解决方案，或进行必要的配置。</w:t>
            </w:r>
          </w:p>
          <w:p>
            <w:pPr>
              <w:pStyle w:val="null3"/>
              <w:ind w:firstLine="420"/>
              <w:jc w:val="both"/>
            </w:pPr>
            <w:r>
              <w:rPr>
                <w:rFonts w:ascii="仿宋_GB2312" w:hAnsi="仿宋_GB2312" w:cs="仿宋_GB2312" w:eastAsia="仿宋_GB2312"/>
                <w:sz w:val="21"/>
              </w:rPr>
              <w:t>2、确保所有硬件设备的操作系统和业务系统稳定运行。若操作系统或业务系统发生故障不能正常工作，需及时提出解决方案，恢复使用。</w:t>
            </w:r>
          </w:p>
          <w:p>
            <w:pPr>
              <w:pStyle w:val="null3"/>
              <w:ind w:firstLine="420"/>
              <w:jc w:val="both"/>
            </w:pPr>
            <w:r>
              <w:rPr>
                <w:rFonts w:ascii="仿宋_GB2312" w:hAnsi="仿宋_GB2312" w:cs="仿宋_GB2312" w:eastAsia="仿宋_GB2312"/>
                <w:sz w:val="21"/>
              </w:rPr>
              <w:t xml:space="preserve">3、协助建立所有硬件设备及相关系统软件的故障恢复流程及应急措施。 </w:t>
            </w:r>
          </w:p>
          <w:p>
            <w:pPr>
              <w:pStyle w:val="null3"/>
              <w:jc w:val="both"/>
            </w:pPr>
            <w:r>
              <w:rPr>
                <w:rFonts w:ascii="仿宋_GB2312" w:hAnsi="仿宋_GB2312" w:cs="仿宋_GB2312" w:eastAsia="仿宋_GB2312"/>
                <w:sz w:val="21"/>
              </w:rPr>
              <w:t>4、机房基础服务器等硬件运维、超融合系统运维、机房精密空调设备运维、机房消防设备运维、不少于4次巡检/年。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三、服务要求</w:t>
            </w:r>
          </w:p>
          <w:p>
            <w:pPr>
              <w:pStyle w:val="null3"/>
              <w:ind w:firstLine="420"/>
              <w:jc w:val="both"/>
            </w:pPr>
            <w:r>
              <w:rPr>
                <w:rFonts w:ascii="仿宋_GB2312" w:hAnsi="仿宋_GB2312" w:cs="仿宋_GB2312" w:eastAsia="仿宋_GB2312"/>
                <w:sz w:val="21"/>
              </w:rPr>
              <w:t>运维单位有一套完善的运行维护管理体系。该体系涵盖了从项目启动、实施、监控到收尾的全过程管理，确保每个阶段都有明确的目标、任务与责任人。同时，通过定期的运维评估与反馈机制，不断优化运维流程，提升运维效率与质量。运维单位应采用先进的运维管理平台，实现对数据中心设备、系统、应用等全方位、全天候的监控与管理。该平台具备实时监控、故障预警、性能分析等功能，确保运维人员能够及时发现并处理问题。</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、其他</w:t>
            </w:r>
          </w:p>
          <w:p>
            <w:pPr>
              <w:pStyle w:val="null3"/>
              <w:jc w:val="both"/>
            </w:pPr>
            <w:r>
              <w:rPr>
                <w:rFonts w:ascii="仿宋_GB2312" w:hAnsi="仿宋_GB2312" w:cs="仿宋_GB2312" w:eastAsia="仿宋_GB2312"/>
                <w:sz w:val="21"/>
              </w:rPr>
              <w:t>运维单位要设立</w:t>
            </w:r>
            <w:r>
              <w:rPr>
                <w:rFonts w:ascii="仿宋_GB2312" w:hAnsi="仿宋_GB2312" w:cs="仿宋_GB2312" w:eastAsia="仿宋_GB2312"/>
                <w:sz w:val="21"/>
              </w:rPr>
              <w:t>24小时客服热线，随时接受咨询，如有必要，需随时到场进行运维。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8"/>
                <w:b/>
              </w:rPr>
              <w:t>清单：</w:t>
            </w:r>
          </w:p>
          <w:tbl>
            <w:tblPr>
              <w:tblBorders>
                <w:top w:val="none" w:color="000000" w:sz="4"/>
                <w:left w:val="none" w:color="000000" w:sz="4"/>
                <w:bottom w:val="none" w:color="000000" w:sz="4"/>
                <w:right w:val="none" w:color="000000" w:sz="4"/>
                <w:insideH w:val="none"/>
                <w:insideV w:val="none"/>
              </w:tblBorders>
            </w:tblPr>
            <w:tblGrid>
              <w:gridCol w:w="198"/>
              <w:gridCol w:w="469"/>
              <w:gridCol w:w="918"/>
              <w:gridCol w:w="237"/>
              <w:gridCol w:w="719"/>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6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设备类型</w:t>
                  </w:r>
                </w:p>
              </w:tc>
              <w:tc>
                <w:tcPr>
                  <w:tcW w:type="dxa" w:w="91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r>
                    <w:rPr>
                      <w:rFonts w:ascii="仿宋_GB2312" w:hAnsi="仿宋_GB2312" w:cs="仿宋_GB2312" w:eastAsia="仿宋_GB2312"/>
                      <w:sz w:val="24"/>
                    </w:rPr>
                    <w:t>/规格</w:t>
                  </w:r>
                </w:p>
              </w:tc>
              <w:tc>
                <w:tcPr>
                  <w:tcW w:type="dxa" w:w="2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7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模块化机柜主体</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科士达动力柜、</w:t>
                  </w:r>
                  <w:r>
                    <w:rPr>
                      <w:rFonts w:ascii="仿宋_GB2312" w:hAnsi="仿宋_GB2312" w:cs="仿宋_GB2312" w:eastAsia="仿宋_GB2312"/>
                      <w:sz w:val="24"/>
                      <w:color w:val="000000"/>
                    </w:rPr>
                    <w:t>IT柜</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1组</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UPS及电池组</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科士达</w:t>
                  </w:r>
                  <w:r>
                    <w:rPr>
                      <w:rFonts w:ascii="仿宋_GB2312" w:hAnsi="仿宋_GB2312" w:cs="仿宋_GB2312" w:eastAsia="仿宋_GB2312"/>
                      <w:sz w:val="24"/>
                      <w:color w:val="000000"/>
                    </w:rPr>
                    <w:t>30KVA</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1组</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气体灭火设备</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钢瓶</w:t>
                  </w:r>
                  <w:r>
                    <w:rPr>
                      <w:rFonts w:ascii="仿宋_GB2312" w:hAnsi="仿宋_GB2312" w:cs="仿宋_GB2312" w:eastAsia="仿宋_GB2312"/>
                      <w:sz w:val="24"/>
                      <w:color w:val="000000"/>
                    </w:rPr>
                    <w:t>GQQ90/2.5</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动环报警系统</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监控系统</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超融合系统</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青立方超融合易捷版系统（</w:t>
                  </w:r>
                  <w:r>
                    <w:rPr>
                      <w:rFonts w:ascii="仿宋_GB2312" w:hAnsi="仿宋_GB2312" w:cs="仿宋_GB2312" w:eastAsia="仿宋_GB2312"/>
                      <w:sz w:val="24"/>
                    </w:rPr>
                    <w:t>CloudExpress2.1.3）</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超融合服务器</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2288H V5</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5台</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万兆交换机</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S6720S-26Q-EI-24S-AC</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4台</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隔离网闸</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天融信</w:t>
                  </w:r>
                  <w:r>
                    <w:rPr>
                      <w:rFonts w:ascii="仿宋_GB2312" w:hAnsi="仿宋_GB2312" w:cs="仿宋_GB2312" w:eastAsia="仿宋_GB2312"/>
                      <w:sz w:val="24"/>
                    </w:rPr>
                    <w:t>TopRulesv3</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内网防火墙</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天融信</w:t>
                  </w:r>
                  <w:r>
                    <w:rPr>
                      <w:rFonts w:ascii="仿宋_GB2312" w:hAnsi="仿宋_GB2312" w:cs="仿宋_GB2312" w:eastAsia="仿宋_GB2312"/>
                      <w:sz w:val="24"/>
                    </w:rPr>
                    <w:t>NGFW4000-UF（千兆）V3</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1、防病毒：</w:t>
                  </w:r>
                </w:p>
                <w:p>
                  <w:pPr>
                    <w:pStyle w:val="null3"/>
                    <w:jc w:val="left"/>
                  </w:pPr>
                  <w:r>
                    <w:rPr>
                      <w:rFonts w:ascii="仿宋_GB2312" w:hAnsi="仿宋_GB2312" w:cs="仿宋_GB2312" w:eastAsia="仿宋_GB2312"/>
                      <w:sz w:val="24"/>
                    </w:rPr>
                    <w:t>根据等保要求，天融信防火墙系统增加病毒库功能，实现对网内</w:t>
                  </w:r>
                  <w:r>
                    <w:rPr>
                      <w:rFonts w:ascii="仿宋_GB2312" w:hAnsi="仿宋_GB2312" w:cs="仿宋_GB2312" w:eastAsia="仿宋_GB2312"/>
                      <w:sz w:val="24"/>
                    </w:rPr>
                    <w:t>HTTP、FTP、SMTP、POP3、IMAP等协议进行病毒检测；实现木马病毒、蠕虫病毒、宏病毒、脚本病毒查杀；支持快速扫描与深度扫描两种检测模式，根据不同协议选择不同的检测模式；实现僵尸网络检测与阻断。</w:t>
                  </w:r>
                </w:p>
                <w:p>
                  <w:pPr>
                    <w:pStyle w:val="null3"/>
                    <w:jc w:val="both"/>
                  </w:pPr>
                  <w:r>
                    <w:rPr>
                      <w:rFonts w:ascii="仿宋_GB2312" w:hAnsi="仿宋_GB2312" w:cs="仿宋_GB2312" w:eastAsia="仿宋_GB2312"/>
                      <w:sz w:val="24"/>
                      <w:b/>
                    </w:rPr>
                    <w:t>2、入侵防护功能：</w:t>
                  </w:r>
                </w:p>
                <w:p>
                  <w:pPr>
                    <w:pStyle w:val="null3"/>
                    <w:jc w:val="center"/>
                  </w:pPr>
                  <w:r>
                    <w:rPr>
                      <w:rFonts w:ascii="仿宋_GB2312" w:hAnsi="仿宋_GB2312" w:cs="仿宋_GB2312" w:eastAsia="仿宋_GB2312"/>
                      <w:sz w:val="24"/>
                    </w:rPr>
                    <w:t>根据等保要求，天融信防火墙系统增加入侵防护功能，该功能采用协议分析、模式识别、统计阀值和流量异常监视等综合技术手段来判断入侵行为，发现并阻断各种网络恶意攻击，包括溢出攻击、</w:t>
                  </w:r>
                  <w:r>
                    <w:rPr>
                      <w:rFonts w:ascii="仿宋_GB2312" w:hAnsi="仿宋_GB2312" w:cs="仿宋_GB2312" w:eastAsia="仿宋_GB2312"/>
                      <w:sz w:val="24"/>
                    </w:rPr>
                    <w:t>RPC攻击、WEBCGI攻击、拒绝服务、木马、蠕虫、系统漏洞等在内的11大类超过4000种网络攻击行为。</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POE汇聚光交换机</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S5731S-S32ST4X-A1</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防火墙</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USG6385E-AC</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上网行为管理</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ASG5320</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核心外网交换机</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S7706</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外网交换机</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S5735S-L24T4S-QA2</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广播交换机</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S5735S-L24T4S-QA2</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AC 控制器</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AC6508</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内网核心交换机</w:t>
                  </w:r>
                </w:p>
              </w:tc>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r>
                    <w:rPr>
                      <w:rFonts w:ascii="仿宋_GB2312" w:hAnsi="仿宋_GB2312" w:cs="仿宋_GB2312" w:eastAsia="仿宋_GB2312"/>
                      <w:sz w:val="24"/>
                    </w:rPr>
                    <w:t>S6735S-S48X6C</w:t>
                  </w:r>
                </w:p>
              </w:tc>
              <w:tc>
                <w:tcPr>
                  <w:tcW w:type="dxa" w:w="2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7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服务期：维护周期1年。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服务期：维护周期1年。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中标供应商领取中标（成交）通知书时，向采购代理机构提供一正两副（和上传文件保持一致的）纸质投标（响应）文件用于备案及档案保存。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证明文件：1、具有独立承担民事责任能力的法人、其他组织或自然人：具有独立承担民事责任能力的法人、其他组织或自然人，提供合法有效的统一社会信用代码营业执照（事业单位提供事业单位法人证书，自然人应提供身份证）； 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3、税收缴纳证明：提供2024年6月以来任意一个月的依法缴纳税收的相关凭据（时间以税款所属时期为准），凭据应有税务机关或代收机关的公章或业务专用章。依法免税或无须缴纳税收的供应商，应提供相应证明文件； 4、社会保障资金缴纳证明：提供2024年6月以来任意一个月的社会保障资金缴存单据或社保机构开具的社会保险参保缴费情况证明。依法不需要缴纳社会保障资金的供应商应提供相关文件证明；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 6、没有重大违法记录的书面声明：参加政府采购活动前3年内在经营活动中没有重大违法记录的书面声明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证明文件：1、具有独立承担民事责任能力的法人、其他组织或自然人：具有独立承担民事责任能力的法人、其他组织或自然人，提供合法有效的统一社会信用代码营业执照（事业单位提供事业单位法人证书，自然人应提供身份证）； 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3、税收缴纳证明：提供2024年6月以来任意一个月的依法缴纳税收的相关凭据（时间以税款所属时期为准），凭据应有税务机关或代收机关的公章或业务专用章。依法免税或无须缴纳税收的供应商，应提供相应证明文件； 4、社会保障资金缴纳证明：提供2024年6月以来任意一个月的社会保障资金缴存单据或社保机构开具的社会保险参保缴费情况证明。依法不需要缴纳社会保障资金的供应商应提供相关文件证明；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 6、没有重大违法记录的书面声明：参加政府采购活动前3年内在经营活动中没有重大违法记录的书面声明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非法定代表人参加投标的，须提供法定代表人委托授权书及被授权人近三个月社保缴纳证明，法定代表人参加投标时,只需提供法定代表人身份证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本项目不接受由西安市中心血站职工及其亲属投资举办的企业参加投标</w:t>
            </w:r>
          </w:p>
        </w:tc>
        <w:tc>
          <w:tcPr>
            <w:tcW w:type="dxa" w:w="3322"/>
          </w:tcPr>
          <w:p>
            <w:pPr>
              <w:pStyle w:val="null3"/>
            </w:pPr>
            <w:r>
              <w:rPr>
                <w:rFonts w:ascii="仿宋_GB2312" w:hAnsi="仿宋_GB2312" w:cs="仿宋_GB2312" w:eastAsia="仿宋_GB2312"/>
              </w:rPr>
              <w:t>本项目不接受由西安市中心血站职工及其亲属投资举办的企业参加投标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非法定代表人参加投标的，须提供法定代表人委托授权书及被授权人近三个月社保缴纳证明，法定代表人参加投标时,只需提供法定代表人身份证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本项目不接受由西安市中心血站职工及其亲属投资举办的企业参加投标</w:t>
            </w:r>
          </w:p>
        </w:tc>
        <w:tc>
          <w:tcPr>
            <w:tcW w:type="dxa" w:w="3322"/>
          </w:tcPr>
          <w:p>
            <w:pPr>
              <w:pStyle w:val="null3"/>
            </w:pPr>
            <w:r>
              <w:rPr>
                <w:rFonts w:ascii="仿宋_GB2312" w:hAnsi="仿宋_GB2312" w:cs="仿宋_GB2312" w:eastAsia="仿宋_GB2312"/>
              </w:rPr>
              <w:t>本项目不接受由西安市中心血站职工及其亲属投资举办的企业参加投标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服务期限不满足招标文件要求 不合格 服务期限满足招标文件要求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响应文件封面 分项报价表.docx 服务内容及服务邀请应答表 质量安全责任承诺书.docx 商务应答表 标的清单 报价表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投标文件投标有效期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投标文件投标有效期达到招标文件要求的 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质量安全责任承诺书</w:t>
            </w:r>
          </w:p>
        </w:tc>
        <w:tc>
          <w:tcPr>
            <w:tcW w:type="dxa" w:w="3322"/>
          </w:tcPr>
          <w:p>
            <w:pPr>
              <w:pStyle w:val="null3"/>
            </w:pPr>
            <w:r>
              <w:rPr>
                <w:rFonts w:ascii="仿宋_GB2312" w:hAnsi="仿宋_GB2312" w:cs="仿宋_GB2312" w:eastAsia="仿宋_GB2312"/>
              </w:rPr>
              <w:t>响应文件提供了合格的质量安全责任承诺书（合格） 响应文件未提供或提供的质量安全责任承诺书不合格（不合格）</w:t>
            </w:r>
          </w:p>
        </w:tc>
        <w:tc>
          <w:tcPr>
            <w:tcW w:type="dxa" w:w="1661"/>
          </w:tcPr>
          <w:p>
            <w:pPr>
              <w:pStyle w:val="null3"/>
            </w:pPr>
            <w:r>
              <w:rPr>
                <w:rFonts w:ascii="仿宋_GB2312" w:hAnsi="仿宋_GB2312" w:cs="仿宋_GB2312" w:eastAsia="仿宋_GB2312"/>
              </w:rPr>
              <w:t>质量安全责任承诺书.docx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 文件规定的 其他无效 情形（合 格），存在法律、法规和招标文件规 定的其他无效情形 （不合格）</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服务期限不满足招标文件要求 不合格 服务期限满足招标文件要求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响应文件封面 分项报价表.docx 服务内容及服务邀请应答表 质量安全责任承诺书.docx 商务应答表 标的清单 报价表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投标文件投标有效期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投标文件投标有效期达到招标文件要求的 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质量安全责任承诺书</w:t>
            </w:r>
          </w:p>
        </w:tc>
        <w:tc>
          <w:tcPr>
            <w:tcW w:type="dxa" w:w="3322"/>
          </w:tcPr>
          <w:p>
            <w:pPr>
              <w:pStyle w:val="null3"/>
            </w:pPr>
            <w:r>
              <w:rPr>
                <w:rFonts w:ascii="仿宋_GB2312" w:hAnsi="仿宋_GB2312" w:cs="仿宋_GB2312" w:eastAsia="仿宋_GB2312"/>
              </w:rPr>
              <w:t>响应文件提供了合格的质量安全责任承诺书（合格） 响应文件未提供或提供的质量安全责任承诺书不合格（不合格）</w:t>
            </w:r>
          </w:p>
        </w:tc>
        <w:tc>
          <w:tcPr>
            <w:tcW w:type="dxa" w:w="1661"/>
          </w:tcPr>
          <w:p>
            <w:pPr>
              <w:pStyle w:val="null3"/>
            </w:pPr>
            <w:r>
              <w:rPr>
                <w:rFonts w:ascii="仿宋_GB2312" w:hAnsi="仿宋_GB2312" w:cs="仿宋_GB2312" w:eastAsia="仿宋_GB2312"/>
              </w:rPr>
              <w:t>质量安全责任承诺书.docx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 文件规定的 其他无效 情形（合 格），存在法律、法规和招标文件规 定的其他无效情形 （不合格）</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供应商提供的技术参数与性能指标完全符合、响应招标文件要求，没有负偏离的得10分；技术参数与性能指标负偏离一项扣0.25分，扣完为止。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项目整体方案</w:t>
            </w:r>
          </w:p>
        </w:tc>
        <w:tc>
          <w:tcPr>
            <w:tcW w:type="dxa" w:w="2492"/>
          </w:tcPr>
          <w:p>
            <w:pPr>
              <w:pStyle w:val="null3"/>
            </w:pPr>
            <w:r>
              <w:rPr>
                <w:rFonts w:ascii="仿宋_GB2312" w:hAnsi="仿宋_GB2312" w:cs="仿宋_GB2312" w:eastAsia="仿宋_GB2312"/>
              </w:rPr>
              <w:t>根据供应商提供的针对本项目的整体方案，包含：①阐述对中心血站短信服务和微信年度运维服务流程安排②分析中心血站短信服务和微信年度运维服务的重难点工作③针对中心血站短信服务和微信年度运维服务重难点工作中对应的解决措施④业务系统网络安全监测系统实施方案；⑤分析业务系统网络安全监测系统服务过程中的重难点工作；⑥针对业务系统网络安全监测系统服务重难点工作中对应的解决措施⑦阐述对容灾及应急服务的具体服务安排流程⑧分析容灾及应急服务过程中的重难点工作⑨针对容灾及应急服务重难点工作中对应的解决措施。以上9项内容为专门针对本项目编制，完全符合本项目实际情况，能够完全保障项目顺利实施的得27分，每有一项未提供扣3分；每有一处有缺陷扣1.5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根据投标人提供的实施方案进行评审，该方案包含：①总体实施方案；②计划进度安排；③项目团队配备；④项目验收方案；⑤质量保证措施等 以上5项内容为专门针对本项目编制，完全符合本项目实际情况得15分；每有一项未提供扣3分；每有一处有缺陷扣1.5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提供供应商2022年1月（含2022年1月）以来类似项目合同（以合同签订日期为准），每提供1份，得2分，最高得8分。 注：需提供合同复印件，相同采购人不重复计分。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根据供应商提供的售后服务方案进行评审，该方案包含：①质量保证期限②质量保证的范围方案；③售后服务方案；④售后服务保障措施；⑤售后人员配置安排计划等。 以上5项内容为专门针对本项目编制，完全符合本项目实际情况得15分；每有一项未提供扣3分；每有一处有缺陷扣1.5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根据供应商针对本项目基本情况拟定培训方案，包括①培训目标和计划；②培训时间和地点；③培训内容、方法和形式；④培训总结、评估；⑤档案管理。 以上5项内容为专门针对本项目编制，完全符合本项目实际情况得15分；每有一项未提供扣3分；每有一处有缺陷扣1.5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其他供应商的价格分值统一按下列公式计算：投标报价得分＝（评标基准价/投标报价）×10。评标基准价是指满足招标文件要求且投标价格最低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针对本项目的整体服务方案 ，内容包含：①维保服务方案；②故障解决方案（包括但不限于硬件、系统软件等发生故障的解决方案）；③巡检服务方案；④工作质量、安全、进度控制保障措施；⑤运维保障措施及组织协调内容；⑥工作重点与难点分析及对应措施；⑦系统安全与保密措施；⑧运维日志；⑨验收方案。提供的上述9项内容完整可行得45分；每有一项未提供扣5分；每有一处有缺陷扣2.5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具体可行的服务承诺，内容包含①服务质量承诺；②服务响应时限、人员到位、安全保障、不能完全履行承诺时愿意接受相关处罚等以及其他服务的承诺；③有利于本项目实施的合理化建议；④有关保密、运维服务考核、责任风险等的承诺；⑤服务团队；提供的上述5项内容完整可行得15分；每有一项未提供扣3分；每有一处有缺陷扣1.5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提供备品备件方案，包含①备品备件清单；②备品备件证明材料；提供的上述2项内容完整可行得6分；每有一项未提供扣3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备品备件.docx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应急措施保障，内容包含①应急预案；②应急处理响应时间；③应急人数及人员安排；④应急保障措施；提供的上述4项内容完整可行得16分；每有一项未提供扣4分；每有一处有缺陷扣2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评审专家根据供应商提供的2022年1月1日至今同类业绩（以合同签订日期为准，仅限供应商本身，提供合同复印件加盖公章）进行评定，每份计2分，最高计8分。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其他供应商的价格分值统一按下列公式计算：投标报价得分＝（评标基准价/投标报价）×10。评标基准价是指满足招标文件要求且投标价格最低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详见附件：项目整体方案.docx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详见附件：质量安全责任承诺书.docx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详见附件：质量安全责任承诺书.docx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详见附件：备品备件.docx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