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w:t>
      </w:r>
      <w:r>
        <w:rPr>
          <w:rFonts w:hint="eastAsia" w:eastAsia="仿宋"/>
          <w:b/>
          <w:sz w:val="24"/>
          <w:szCs w:val="32"/>
          <w:lang w:eastAsia="zh-CN"/>
        </w:rPr>
        <w:t>供应商</w:t>
      </w:r>
      <w:r>
        <w:rPr>
          <w:rFonts w:eastAsia="仿宋"/>
          <w:b/>
          <w:sz w:val="24"/>
          <w:szCs w:val="32"/>
        </w:rPr>
        <w:t>的企业法人营业执照副本复印件</w:t>
      </w:r>
      <w:r>
        <w:rPr>
          <w:rFonts w:hint="eastAsia" w:ascii="仿宋" w:hAnsi="仿宋" w:eastAsia="仿宋" w:cs="仿宋"/>
          <w:b/>
          <w:sz w:val="24"/>
        </w:rPr>
        <w:t>（加盖公章）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Toc7005121"/>
      <w:bookmarkStart w:id="4" w:name="_Ref527015333"/>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经审计的2023或2024年度财务报告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eastAsia="仿宋"/>
          <w:sz w:val="24"/>
          <w:lang w:eastAsia="zh-CN"/>
        </w:rPr>
        <w:t>供应商提供</w:t>
      </w:r>
      <w:r>
        <w:rPr>
          <w:rFonts w:hint="eastAsia" w:eastAsia="仿宋"/>
          <w:sz w:val="24"/>
          <w:lang w:val="en-US" w:eastAsia="zh-CN"/>
        </w:rPr>
        <w:t>2023或2024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1262946C">
      <w:pPr>
        <w:rPr>
          <w:rFonts w:eastAsia="仿宋"/>
          <w:b/>
          <w:sz w:val="24"/>
          <w:szCs w:val="32"/>
        </w:rPr>
      </w:pPr>
      <w:bookmarkStart w:id="5" w:name="_Toc7005122"/>
      <w:r>
        <w:rPr>
          <w:rFonts w:hint="eastAsia" w:ascii="仿宋" w:hAnsi="仿宋" w:eastAsia="仿宋" w:cs="仿宋"/>
          <w:b/>
          <w:sz w:val="24"/>
        </w:rPr>
        <w:t>或</w:t>
      </w:r>
      <w:bookmarkEnd w:id="5"/>
      <w:r>
        <w:rPr>
          <w:rFonts w:eastAsia="仿宋"/>
          <w:b/>
          <w:sz w:val="24"/>
          <w:szCs w:val="32"/>
        </w:rPr>
        <w:t>递交</w:t>
      </w:r>
      <w:r>
        <w:rPr>
          <w:rFonts w:hint="eastAsia" w:eastAsia="仿宋"/>
          <w:b/>
          <w:sz w:val="24"/>
          <w:szCs w:val="32"/>
          <w:lang w:eastAsia="zh-CN"/>
        </w:rPr>
        <w:t>谈判响应</w:t>
      </w:r>
      <w:r>
        <w:rPr>
          <w:rFonts w:eastAsia="仿宋"/>
          <w:b/>
          <w:sz w:val="24"/>
          <w:szCs w:val="32"/>
        </w:rPr>
        <w:t>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lang w:val="en-US" w:eastAsia="zh-CN"/>
        </w:rPr>
        <w:t>3、</w:t>
      </w:r>
      <w:r>
        <w:rPr>
          <w:rFonts w:hint="eastAsia" w:ascii="仿宋" w:hAnsi="仿宋" w:eastAsia="仿宋" w:cs="仿宋"/>
          <w:b/>
          <w:sz w:val="24"/>
        </w:rPr>
        <w:t>依法缴纳税收的证明</w:t>
      </w:r>
      <w:bookmarkEnd w:id="6"/>
    </w:p>
    <w:p w14:paraId="44710956">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69E81EB1">
      <w:pPr>
        <w:tabs>
          <w:tab w:val="left" w:pos="993"/>
          <w:tab w:val="left" w:pos="1030"/>
          <w:tab w:val="left" w:pos="8364"/>
        </w:tabs>
        <w:snapToGrid w:val="0"/>
        <w:spacing w:after="120" w:afterLines="50"/>
        <w:ind w:right="-57" w:rightChars="-27"/>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应提供投标截止时间前近6个月中任何1个月缴税凭证，时间以税款所属时期为准（银行出具的缴税凭证或税务机关出具的证明的复印件，并加盖本单位公章）。</w:t>
      </w:r>
    </w:p>
    <w:p w14:paraId="34FD3FA9">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2、依法免税或无须缴纳税收的</w:t>
      </w:r>
      <w:r>
        <w:rPr>
          <w:rFonts w:hint="eastAsia" w:ascii="仿宋" w:hAnsi="仿宋" w:eastAsia="仿宋" w:cs="仿宋"/>
          <w:sz w:val="24"/>
          <w:lang w:eastAsia="zh-CN"/>
        </w:rPr>
        <w:t>供应商</w:t>
      </w:r>
      <w:r>
        <w:rPr>
          <w:rFonts w:hint="eastAsia" w:ascii="仿宋" w:hAnsi="仿宋" w:eastAsia="仿宋" w:cs="仿宋"/>
          <w:sz w:val="24"/>
        </w:rPr>
        <w:t>，应提供相应证明文件。</w:t>
      </w: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bookmarkEnd w:id="7"/>
    </w:p>
    <w:p w14:paraId="5D8524DF">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14:paraId="779424FF">
      <w:pPr>
        <w:tabs>
          <w:tab w:val="left" w:pos="993"/>
          <w:tab w:val="left" w:pos="1030"/>
          <w:tab w:val="left" w:pos="8364"/>
        </w:tabs>
        <w:snapToGrid w:val="0"/>
        <w:spacing w:after="156" w:afterLines="50"/>
        <w:ind w:right="-57" w:rightChars="-27"/>
        <w:jc w:val="left"/>
        <w:rPr>
          <w:rFonts w:eastAsia="仿宋"/>
          <w:sz w:val="24"/>
        </w:rPr>
      </w:pPr>
      <w:bookmarkStart w:id="8" w:name="_Toc7005125"/>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14:paraId="55FB8C31">
      <w:pPr>
        <w:jc w:val="left"/>
        <w:outlineLvl w:val="2"/>
        <w:rPr>
          <w:rFonts w:ascii="仿宋" w:hAnsi="仿宋" w:eastAsia="仿宋" w:cs="仿宋"/>
          <w:b/>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r>
        <w:rPr>
          <w:rFonts w:hint="eastAsia" w:ascii="仿宋" w:hAnsi="仿宋" w:eastAsia="仿宋" w:cs="仿宋"/>
          <w:b/>
          <w:bCs/>
          <w:sz w:val="24"/>
        </w:rPr>
        <w:br w:type="page"/>
      </w: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69946BB0">
      <w:pPr>
        <w:jc w:val="center"/>
        <w:rPr>
          <w:rFonts w:ascii="仿宋" w:hAnsi="仿宋" w:eastAsia="仿宋" w:cs="仿宋"/>
          <w:b/>
          <w:sz w:val="24"/>
        </w:rPr>
      </w:pPr>
      <w:bookmarkStart w:id="9" w:name="_Toc7005126"/>
      <w:r>
        <w:rPr>
          <w:rFonts w:hint="eastAsia" w:ascii="仿宋" w:hAnsi="仿宋" w:eastAsia="仿宋" w:cs="仿宋"/>
          <w:b/>
          <w:sz w:val="24"/>
          <w:szCs w:val="22"/>
          <w:lang w:val="en-US" w:eastAsia="zh-CN"/>
        </w:rPr>
        <w:t>6、</w:t>
      </w:r>
      <w:bookmarkEnd w:id="9"/>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p>
    <w:p w14:paraId="727D913B">
      <w:pPr>
        <w:jc w:val="center"/>
        <w:rPr>
          <w:rFonts w:ascii="仿宋" w:hAnsi="仿宋" w:eastAsia="仿宋" w:cs="仿宋"/>
          <w:sz w:val="24"/>
        </w:rPr>
      </w:pPr>
    </w:p>
    <w:p w14:paraId="758A4D79">
      <w:pPr>
        <w:tabs>
          <w:tab w:val="left" w:pos="5580"/>
        </w:tabs>
        <w:spacing w:before="120" w:line="360" w:lineRule="auto"/>
        <w:rPr>
          <w:rFonts w:hint="eastAsia"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10" w:name="_Toc7005127"/>
      <w:r>
        <w:rPr>
          <w:rFonts w:hint="eastAsia" w:ascii="仿宋" w:hAnsi="仿宋" w:eastAsia="仿宋" w:cs="仿宋"/>
          <w:b/>
          <w:sz w:val="24"/>
          <w:szCs w:val="22"/>
          <w:lang w:val="en-US" w:eastAsia="zh-CN"/>
        </w:rPr>
        <w:t>7、</w:t>
      </w:r>
      <w:bookmarkEnd w:id="10"/>
      <w:r>
        <w:rPr>
          <w:rFonts w:hint="eastAsia" w:eastAsia="仿宋"/>
          <w:b/>
          <w:sz w:val="24"/>
          <w:szCs w:val="32"/>
          <w:lang w:eastAsia="zh-CN"/>
        </w:rPr>
        <w:t>供应商</w:t>
      </w:r>
      <w:r>
        <w:rPr>
          <w:rFonts w:eastAsia="仿宋"/>
          <w:b/>
          <w:sz w:val="24"/>
          <w:szCs w:val="32"/>
        </w:rPr>
        <w:t>控股股东名称、控股公司的名称和存在管理、被管理关系的单位名称说明</w:t>
      </w:r>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1" w:name="_Toc7005128"/>
      <w:r>
        <w:rPr>
          <w:rFonts w:hint="eastAsia" w:ascii="仿宋" w:hAnsi="仿宋" w:eastAsia="仿宋" w:cs="仿宋"/>
          <w:b/>
          <w:sz w:val="24"/>
          <w:szCs w:val="22"/>
          <w:lang w:val="en-US" w:eastAsia="zh-CN"/>
        </w:rPr>
        <w:t>8、</w:t>
      </w:r>
      <w:bookmarkEnd w:id="11"/>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rPr>
          <w:rFonts w:ascii="仿宋" w:hAnsi="仿宋" w:eastAsia="仿宋" w:cs="仿宋"/>
          <w:sz w:val="24"/>
        </w:rPr>
      </w:pPr>
      <w:r>
        <w:rPr>
          <w:rFonts w:ascii="仿宋" w:hAnsi="仿宋" w:eastAsia="仿宋" w:cs="仿宋"/>
          <w:sz w:val="24"/>
        </w:rPr>
        <w:br w:type="page"/>
      </w:r>
    </w:p>
    <w:p w14:paraId="4443C005">
      <w:pPr>
        <w:numPr>
          <w:ilvl w:val="0"/>
          <w:numId w:val="1"/>
        </w:numPr>
        <w:jc w:val="left"/>
        <w:outlineLvl w:val="2"/>
        <w:rPr>
          <w:rFonts w:hint="eastAsia" w:ascii="仿宋" w:hAnsi="仿宋" w:eastAsia="仿宋" w:cs="仿宋"/>
          <w:b/>
          <w:sz w:val="24"/>
          <w:szCs w:val="22"/>
        </w:rPr>
      </w:pPr>
      <w:bookmarkStart w:id="12" w:name="_Toc7005129"/>
      <w:r>
        <w:rPr>
          <w:rFonts w:hint="eastAsia" w:ascii="仿宋" w:hAnsi="仿宋" w:eastAsia="仿宋" w:cs="仿宋"/>
          <w:b/>
          <w:sz w:val="24"/>
          <w:szCs w:val="22"/>
        </w:rPr>
        <w:t>证明</w:t>
      </w:r>
      <w:r>
        <w:rPr>
          <w:rFonts w:hint="eastAsia" w:ascii="仿宋" w:hAnsi="仿宋" w:eastAsia="仿宋" w:cs="仿宋"/>
          <w:b/>
          <w:sz w:val="24"/>
          <w:szCs w:val="22"/>
          <w:lang w:eastAsia="zh-CN"/>
        </w:rPr>
        <w:t>供应商</w:t>
      </w:r>
      <w:r>
        <w:rPr>
          <w:rFonts w:hint="eastAsia" w:ascii="仿宋" w:hAnsi="仿宋" w:eastAsia="仿宋" w:cs="仿宋"/>
          <w:b/>
          <w:sz w:val="24"/>
          <w:szCs w:val="22"/>
        </w:rPr>
        <w:t>符合特定资格条件的证明材料</w:t>
      </w:r>
      <w:bookmarkEnd w:id="12"/>
      <w:r>
        <w:rPr>
          <w:rFonts w:hint="eastAsia" w:ascii="仿宋" w:hAnsi="仿宋" w:eastAsia="仿宋" w:cs="仿宋"/>
          <w:b/>
          <w:sz w:val="24"/>
          <w:szCs w:val="22"/>
        </w:rPr>
        <w:t>：</w:t>
      </w:r>
    </w:p>
    <w:p w14:paraId="02ED6505">
      <w:pPr>
        <w:numPr>
          <w:ilvl w:val="0"/>
          <w:numId w:val="2"/>
        </w:numPr>
        <w:jc w:val="left"/>
        <w:outlineLvl w:val="2"/>
        <w:rPr>
          <w:rFonts w:hint="eastAsia" w:ascii="仿宋" w:hAnsi="仿宋" w:eastAsia="仿宋" w:cs="仿宋"/>
          <w:b/>
          <w:sz w:val="24"/>
          <w:szCs w:val="22"/>
          <w:lang w:eastAsia="zh-CN"/>
        </w:rPr>
      </w:pPr>
      <w:r>
        <w:rPr>
          <w:rFonts w:hint="eastAsia" w:ascii="仿宋" w:hAnsi="仿宋" w:eastAsia="仿宋" w:cs="仿宋"/>
          <w:b/>
          <w:sz w:val="24"/>
          <w:szCs w:val="22"/>
          <w:lang w:eastAsia="zh-CN"/>
        </w:rPr>
        <w:t>供应商若为医用液氧生产厂家的，提供供应商的医用液氧《药品生产许可证》和《药品（再）注册批件》、《安全生产许可证》、《危险化学品登记证》、《压力容器充装许可证》；供应商若为医用液氧代理商，提供其所代理医用液氧产品生产厂家的的医用液氧《药品生产许可证》和《药品（再）注册批件》、《安全生产许可证》、《危险化学品登记证》、《压力容器充装许可证》，和代理商自身的《药品经营许可证》、《危化品经营许可证》。</w:t>
      </w:r>
    </w:p>
    <w:p w14:paraId="3FF9F851">
      <w:pPr>
        <w:numPr>
          <w:ilvl w:val="0"/>
          <w:numId w:val="2"/>
        </w:numPr>
        <w:jc w:val="left"/>
        <w:outlineLvl w:val="2"/>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t>供应商配送产品时，需具有《道路运输经营许可证》或《危险品运输许可证》，供应商委托其他单位配送的，除提供承运单位的上述许可证外，还应提供委托运输协议复印件。</w:t>
      </w:r>
    </w:p>
    <w:p w14:paraId="77AA5770">
      <w:pPr>
        <w:numPr>
          <w:ilvl w:val="0"/>
          <w:numId w:val="2"/>
        </w:numPr>
        <w:jc w:val="left"/>
        <w:outlineLvl w:val="2"/>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t>凡本院职工及其配偶、直系亲属投资开办或在相关企业担任高管、独立董事等有重大利益关系职务的相关供应商，不得参与谈判。（提供承诺书、格式自拟）</w:t>
      </w:r>
    </w:p>
    <w:p w14:paraId="5DB3FEB0">
      <w:pPr>
        <w:numPr>
          <w:ilvl w:val="0"/>
          <w:numId w:val="2"/>
        </w:numPr>
        <w:jc w:val="left"/>
        <w:outlineLvl w:val="2"/>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t>进入西安市卫健委各级系统“黑名单”的，不得参加谈判。（提供承诺书、格式自拟）</w:t>
      </w:r>
      <w:bookmarkStart w:id="15" w:name="_GoBack"/>
      <w:bookmarkEnd w:id="15"/>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3" w:name="_Toc26397"/>
      <w:bookmarkStart w:id="14" w:name="_Toc31618"/>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西安市胸科医院：</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 xml:space="preserve">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w:t>
      </w:r>
      <w:r>
        <w:rPr>
          <w:rFonts w:hint="eastAsia" w:ascii="仿宋" w:hAnsi="仿宋" w:eastAsia="仿宋" w:cs="仿宋"/>
          <w:b/>
          <w:sz w:val="24"/>
          <w:lang w:eastAsia="zh-CN"/>
        </w:rPr>
        <w:t>谈判</w:t>
      </w:r>
      <w:r>
        <w:rPr>
          <w:rFonts w:hint="eastAsia" w:ascii="仿宋" w:hAnsi="仿宋" w:eastAsia="仿宋" w:cs="仿宋"/>
          <w:b/>
          <w:sz w:val="24"/>
        </w:rPr>
        <w:t>的或法定代表人（单位负责人）</w:t>
      </w:r>
      <w:r>
        <w:rPr>
          <w:rFonts w:hint="eastAsia" w:ascii="仿宋" w:hAnsi="仿宋" w:eastAsia="仿宋" w:cs="仿宋"/>
          <w:b/>
          <w:sz w:val="24"/>
          <w:lang w:eastAsia="zh-CN"/>
        </w:rPr>
        <w:t>谈判</w:t>
      </w:r>
      <w:r>
        <w:rPr>
          <w:rFonts w:hint="eastAsia" w:ascii="仿宋" w:hAnsi="仿宋" w:eastAsia="仿宋" w:cs="仿宋"/>
          <w:b/>
          <w:sz w:val="24"/>
        </w:rPr>
        <w:t>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3"/>
      <w:bookmarkEnd w:id="14"/>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提供供应商授权代表本人提供近三个月社保证明资料</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35207"/>
    <w:multiLevelType w:val="singleLevel"/>
    <w:tmpl w:val="E0535207"/>
    <w:lvl w:ilvl="0" w:tentative="0">
      <w:start w:val="1"/>
      <w:numFmt w:val="decimal"/>
      <w:suff w:val="nothing"/>
      <w:lvlText w:val="（%1）"/>
      <w:lvlJc w:val="left"/>
    </w:lvl>
  </w:abstractNum>
  <w:abstractNum w:abstractNumId="1">
    <w:nsid w:val="7FA23655"/>
    <w:multiLevelType w:val="singleLevel"/>
    <w:tmpl w:val="7FA23655"/>
    <w:lvl w:ilvl="0" w:tentative="0">
      <w:start w:val="9"/>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12B05AEF"/>
    <w:rsid w:val="3D567A96"/>
    <w:rsid w:val="4AD06E28"/>
    <w:rsid w:val="4C082703"/>
    <w:rsid w:val="4E34248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1525</Words>
  <Characters>1535</Characters>
  <Lines>20</Lines>
  <Paragraphs>5</Paragraphs>
  <TotalTime>0</TotalTime>
  <ScaleCrop>false</ScaleCrop>
  <LinksUpToDate>false</LinksUpToDate>
  <CharactersWithSpaces>2796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2025-07-11T02:46:13Z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