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F6D5B">
      <w:pPr>
        <w:pStyle w:val="4"/>
        <w:keepNext/>
        <w:keepLines w:val="0"/>
        <w:pageBreakBefore w:val="0"/>
        <w:widowControl w:val="0"/>
        <w:kinsoku/>
        <w:wordWrap/>
        <w:overflowPunct/>
        <w:topLinePunct w:val="0"/>
        <w:autoSpaceDE/>
        <w:autoSpaceDN/>
        <w:bidi w:val="0"/>
        <w:adjustRightInd/>
        <w:snapToGrid/>
        <w:textAlignment w:val="auto"/>
        <w:rPr>
          <w:rFonts w:ascii="宋体" w:hAnsi="宋体" w:cs="宋体"/>
        </w:rPr>
      </w:pPr>
      <w:bookmarkStart w:id="0" w:name="_Toc18676"/>
      <w:bookmarkStart w:id="1" w:name="_Toc692"/>
      <w:bookmarkStart w:id="2" w:name="_Toc1236"/>
      <w:r>
        <w:rPr>
          <w:rFonts w:hint="eastAsia" w:ascii="宋体" w:hAnsi="宋体" w:cs="宋体"/>
        </w:rPr>
        <w:t xml:space="preserve"> 合同条款及格式</w:t>
      </w:r>
      <w:bookmarkEnd w:id="0"/>
      <w:bookmarkEnd w:id="1"/>
      <w:bookmarkEnd w:id="2"/>
    </w:p>
    <w:p w14:paraId="4CF36F5C">
      <w:pPr>
        <w:pStyle w:val="5"/>
        <w:jc w:val="both"/>
        <w:rPr>
          <w:rFonts w:ascii="宋体" w:hAnsi="宋体" w:cs="宋体"/>
        </w:rPr>
      </w:pPr>
    </w:p>
    <w:p w14:paraId="7BC9FD59">
      <w:pPr>
        <w:spacing w:line="360" w:lineRule="auto"/>
        <w:jc w:val="both"/>
        <w:rPr>
          <w:rFonts w:cs="宋体"/>
          <w:b/>
          <w:bCs/>
          <w:sz w:val="48"/>
          <w:szCs w:val="48"/>
        </w:rPr>
      </w:pPr>
    </w:p>
    <w:p w14:paraId="582C44F2">
      <w:pPr>
        <w:spacing w:line="360" w:lineRule="auto"/>
        <w:rPr>
          <w:rFonts w:cs="宋体"/>
          <w:b/>
          <w:bCs/>
          <w:sz w:val="48"/>
          <w:szCs w:val="48"/>
        </w:rPr>
      </w:pPr>
    </w:p>
    <w:p w14:paraId="01BBB90B">
      <w:pPr>
        <w:jc w:val="center"/>
        <w:rPr>
          <w:rFonts w:cs="宋体"/>
          <w:b/>
          <w:bCs/>
          <w:sz w:val="44"/>
          <w:szCs w:val="44"/>
        </w:rPr>
      </w:pPr>
    </w:p>
    <w:p w14:paraId="13EDB81F">
      <w:pPr>
        <w:jc w:val="center"/>
        <w:rPr>
          <w:rFonts w:cs="宋体"/>
          <w:b/>
          <w:bCs/>
          <w:sz w:val="44"/>
          <w:szCs w:val="44"/>
        </w:rPr>
      </w:pPr>
    </w:p>
    <w:p w14:paraId="426DA95B">
      <w:pPr>
        <w:jc w:val="center"/>
        <w:rPr>
          <w:rFonts w:cs="宋体"/>
          <w:b/>
          <w:bCs/>
          <w:sz w:val="44"/>
          <w:szCs w:val="44"/>
        </w:rPr>
      </w:pPr>
    </w:p>
    <w:p w14:paraId="2600FFD9">
      <w:pPr>
        <w:jc w:val="center"/>
        <w:rPr>
          <w:rFonts w:cs="宋体"/>
          <w:b/>
          <w:bCs/>
          <w:sz w:val="44"/>
          <w:szCs w:val="44"/>
        </w:rPr>
      </w:pPr>
    </w:p>
    <w:p w14:paraId="588CE3B0">
      <w:pPr>
        <w:jc w:val="center"/>
        <w:rPr>
          <w:rFonts w:hint="eastAsia" w:eastAsia="宋体" w:cs="宋体"/>
          <w:lang w:eastAsia="zh-CN"/>
        </w:rPr>
      </w:pPr>
      <w:r>
        <w:rPr>
          <w:rFonts w:hint="eastAsia" w:cs="宋体"/>
          <w:b/>
          <w:bCs/>
          <w:sz w:val="36"/>
          <w:szCs w:val="36"/>
          <w:lang w:eastAsia="zh-CN"/>
        </w:rPr>
        <w:t>《</w:t>
      </w:r>
      <w:r>
        <w:rPr>
          <w:rFonts w:hint="eastAsia" w:cs="宋体"/>
          <w:b/>
          <w:bCs/>
          <w:sz w:val="36"/>
          <w:szCs w:val="36"/>
          <w:lang w:val="en-US" w:eastAsia="zh-CN"/>
        </w:rPr>
        <w:t>项目名称</w:t>
      </w:r>
      <w:r>
        <w:rPr>
          <w:rFonts w:hint="eastAsia" w:cs="宋体"/>
          <w:b/>
          <w:bCs/>
          <w:sz w:val="36"/>
          <w:szCs w:val="36"/>
          <w:lang w:eastAsia="zh-CN"/>
        </w:rPr>
        <w:t>》</w:t>
      </w:r>
    </w:p>
    <w:p w14:paraId="7C3D451F">
      <w:pPr>
        <w:pStyle w:val="12"/>
        <w:spacing w:line="360" w:lineRule="auto"/>
        <w:jc w:val="center"/>
        <w:rPr>
          <w:rFonts w:hint="eastAsia" w:ascii="宋体" w:hAnsi="宋体" w:eastAsia="宋体" w:cs="宋体"/>
          <w:sz w:val="24"/>
          <w:szCs w:val="24"/>
        </w:rPr>
      </w:pPr>
      <w:r>
        <w:rPr>
          <w:rFonts w:hint="eastAsia" w:ascii="宋体" w:hAnsi="宋体" w:eastAsia="宋体" w:cs="宋体"/>
          <w:b/>
          <w:bCs/>
          <w:color w:val="000000"/>
          <w:sz w:val="24"/>
          <w:szCs w:val="24"/>
        </w:rPr>
        <w:t>《最终以签订的为准》</w:t>
      </w:r>
    </w:p>
    <w:p w14:paraId="7FF6F99B">
      <w:pPr>
        <w:rPr>
          <w:rFonts w:cs="宋体"/>
        </w:rPr>
      </w:pPr>
    </w:p>
    <w:p w14:paraId="10339516">
      <w:pPr>
        <w:rPr>
          <w:rFonts w:cs="宋体"/>
        </w:rPr>
      </w:pPr>
    </w:p>
    <w:p w14:paraId="29DC3A6D">
      <w:pPr>
        <w:jc w:val="center"/>
        <w:rPr>
          <w:rFonts w:cs="宋体"/>
          <w:b/>
          <w:sz w:val="36"/>
          <w:szCs w:val="36"/>
        </w:rPr>
      </w:pPr>
      <w:r>
        <w:rPr>
          <w:rFonts w:hint="eastAsia" w:cs="宋体"/>
          <w:b/>
          <w:sz w:val="36"/>
          <w:szCs w:val="36"/>
        </w:rPr>
        <w:t>（示范文本）</w:t>
      </w:r>
    </w:p>
    <w:p w14:paraId="0BF26E2D">
      <w:pPr>
        <w:pStyle w:val="5"/>
        <w:rPr>
          <w:rFonts w:ascii="宋体" w:hAnsi="宋体" w:cs="宋体"/>
        </w:rPr>
      </w:pPr>
      <w:r>
        <w:rPr>
          <w:rFonts w:hint="eastAsia" w:ascii="宋体" w:hAnsi="宋体" w:cs="宋体"/>
          <w:bCs w:val="0"/>
          <w:sz w:val="48"/>
          <w:szCs w:val="48"/>
        </w:rPr>
        <w:br w:type="page"/>
      </w:r>
      <w:bookmarkStart w:id="3" w:name="_Toc21991"/>
      <w:bookmarkStart w:id="4" w:name="_Toc10629"/>
      <w:bookmarkStart w:id="5" w:name="_Toc1527"/>
      <w:bookmarkStart w:id="6" w:name="_Toc15561"/>
      <w:bookmarkStart w:id="7" w:name="_Toc8935"/>
      <w:bookmarkStart w:id="8" w:name="_Toc2202"/>
      <w:r>
        <w:rPr>
          <w:rFonts w:hint="eastAsia" w:ascii="宋体" w:hAnsi="宋体" w:cs="宋体"/>
        </w:rPr>
        <w:t>第一部分  协议书</w:t>
      </w:r>
      <w:bookmarkEnd w:id="3"/>
      <w:bookmarkEnd w:id="4"/>
      <w:bookmarkEnd w:id="5"/>
      <w:bookmarkEnd w:id="6"/>
      <w:bookmarkEnd w:id="7"/>
      <w:bookmarkEnd w:id="8"/>
    </w:p>
    <w:p w14:paraId="7AA22C2C">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采购人（全称）：</w:t>
      </w:r>
      <w:r>
        <w:rPr>
          <w:rFonts w:hint="eastAsia" w:asciiTheme="minorEastAsia" w:hAnsiTheme="minorEastAsia" w:eastAsiaTheme="minorEastAsia" w:cstheme="minorEastAsia"/>
          <w:b/>
          <w:sz w:val="24"/>
          <w:szCs w:val="24"/>
          <w:u w:val="single"/>
        </w:rPr>
        <w:t xml:space="preserve">                                      </w:t>
      </w:r>
    </w:p>
    <w:p w14:paraId="0BD1D22C">
      <w:pPr>
        <w:spacing w:line="360" w:lineRule="auto"/>
        <w:ind w:firstLine="48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供应商（全称）：</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sz w:val="24"/>
          <w:szCs w:val="24"/>
          <w:u w:val="single"/>
        </w:rPr>
        <w:t xml:space="preserve">   </w:t>
      </w:r>
    </w:p>
    <w:p w14:paraId="50FD66A7">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根据《中华人民共和国民法典》及其他有关法律、法规，遵循平等、自愿、公平和诚信的原则，双方就下述项目范围与相关服务事项协商一致，订立本合同。</w:t>
      </w:r>
    </w:p>
    <w:p w14:paraId="4D5D68D1">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一、项目概况</w:t>
      </w:r>
    </w:p>
    <w:p w14:paraId="42C865FA">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项目名称：</w:t>
      </w:r>
      <w:r>
        <w:rPr>
          <w:rFonts w:hint="eastAsia" w:asciiTheme="minorEastAsia" w:hAnsiTheme="minorEastAsia" w:eastAsiaTheme="minorEastAsia" w:cstheme="minorEastAsia"/>
          <w:sz w:val="24"/>
          <w:szCs w:val="24"/>
          <w:u w:val="single"/>
        </w:rPr>
        <w:t xml:space="preserve">                                        ；</w:t>
      </w:r>
    </w:p>
    <w:p w14:paraId="6D72C64B">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项目地点：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7553E58A">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二、组成本合同的文件</w:t>
      </w:r>
    </w:p>
    <w:p w14:paraId="5E8DCE64">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协议书；</w:t>
      </w:r>
    </w:p>
    <w:p w14:paraId="213C91FF">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val="en-US" w:eastAsia="zh-CN"/>
        </w:rPr>
        <w:t>成交</w:t>
      </w:r>
      <w:r>
        <w:rPr>
          <w:rFonts w:hint="eastAsia" w:asciiTheme="minorEastAsia" w:hAnsiTheme="minorEastAsia" w:eastAsiaTheme="minorEastAsia" w:cstheme="minorEastAsia"/>
          <w:sz w:val="24"/>
          <w:szCs w:val="24"/>
        </w:rPr>
        <w:t>通知书、</w:t>
      </w:r>
      <w:r>
        <w:rPr>
          <w:rFonts w:hint="eastAsia" w:asciiTheme="minorEastAsia" w:hAnsiTheme="minorEastAsia" w:eastAsiaTheme="minorEastAsia" w:cstheme="minorEastAsia"/>
          <w:sz w:val="24"/>
          <w:szCs w:val="24"/>
          <w:lang w:val="en-US" w:eastAsia="zh-CN"/>
        </w:rPr>
        <w:t>响应</w:t>
      </w:r>
      <w:r>
        <w:rPr>
          <w:rFonts w:hint="eastAsia" w:asciiTheme="minorEastAsia" w:hAnsiTheme="minorEastAsia" w:eastAsiaTheme="minorEastAsia" w:cstheme="minorEastAsia"/>
          <w:sz w:val="24"/>
          <w:szCs w:val="24"/>
        </w:rPr>
        <w:t>文件、</w:t>
      </w:r>
      <w:r>
        <w:rPr>
          <w:rFonts w:hint="eastAsia" w:asciiTheme="minorEastAsia" w:hAnsiTheme="minorEastAsia" w:eastAsiaTheme="minorEastAsia" w:cstheme="minorEastAsia"/>
          <w:sz w:val="24"/>
          <w:szCs w:val="24"/>
          <w:lang w:val="en-US" w:eastAsia="zh-CN"/>
        </w:rPr>
        <w:t>竞争性磋商</w:t>
      </w:r>
      <w:r>
        <w:rPr>
          <w:rFonts w:hint="eastAsia" w:asciiTheme="minorEastAsia" w:hAnsiTheme="minorEastAsia" w:eastAsiaTheme="minorEastAsia" w:cstheme="minorEastAsia"/>
          <w:sz w:val="24"/>
          <w:szCs w:val="24"/>
        </w:rPr>
        <w:t>文件、澄清、补充文件；</w:t>
      </w:r>
    </w:p>
    <w:p w14:paraId="091870D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相关服务</w:t>
      </w:r>
      <w:r>
        <w:rPr>
          <w:rFonts w:hint="eastAsia" w:asciiTheme="minorEastAsia" w:hAnsiTheme="minorEastAsia" w:eastAsiaTheme="minorEastAsia" w:cstheme="minorEastAsia"/>
          <w:sz w:val="24"/>
          <w:szCs w:val="24"/>
          <w:lang w:val="en-US" w:eastAsia="zh-CN"/>
        </w:rPr>
        <w:t>方案</w:t>
      </w:r>
      <w:r>
        <w:rPr>
          <w:rFonts w:hint="eastAsia" w:asciiTheme="minorEastAsia" w:hAnsiTheme="minorEastAsia" w:eastAsiaTheme="minorEastAsia" w:cstheme="minorEastAsia"/>
          <w:sz w:val="24"/>
          <w:szCs w:val="24"/>
        </w:rPr>
        <w:t>；</w:t>
      </w:r>
    </w:p>
    <w:p w14:paraId="7BFCC69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4. 附录，即：附表内相关服务的范围和内容；</w:t>
      </w:r>
    </w:p>
    <w:p w14:paraId="24ACB173">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本合同签订后，双方依法签订的补充协议也是本合同文件的组成部分。</w:t>
      </w:r>
    </w:p>
    <w:p w14:paraId="454F57F7">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三、合同金额</w:t>
      </w:r>
    </w:p>
    <w:p w14:paraId="739B9848">
      <w:pPr>
        <w:spacing w:line="360" w:lineRule="auto"/>
        <w:ind w:firstLine="475" w:firstLineChars="198"/>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1.合同金额</w:t>
      </w:r>
      <w:r>
        <w:rPr>
          <w:rFonts w:hint="eastAsia" w:asciiTheme="minorEastAsia" w:hAnsiTheme="minorEastAsia" w:eastAsiaTheme="minorEastAsia" w:cstheme="minorEastAsia"/>
          <w:sz w:val="24"/>
          <w:szCs w:val="24"/>
          <w:lang w:eastAsia="zh-CN"/>
        </w:rPr>
        <w:t>：</w:t>
      </w:r>
    </w:p>
    <w:p w14:paraId="352BBE89">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合同金额（大写）：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w:t>
      </w:r>
    </w:p>
    <w:p w14:paraId="064CB2CF">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合同总价即中标价，为一次性报价，不受市场价变化或实际工作量变化的影响。合同价格为含税价。</w:t>
      </w:r>
    </w:p>
    <w:p w14:paraId="5A989345">
      <w:pPr>
        <w:pStyle w:val="8"/>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2.付款方式：</w:t>
      </w:r>
      <w:r>
        <w:rPr>
          <w:rFonts w:hint="eastAsia" w:asciiTheme="minorEastAsia" w:hAnsiTheme="minorEastAsia" w:eastAsiaTheme="minorEastAsia" w:cstheme="minorEastAsia"/>
          <w:sz w:val="24"/>
          <w:szCs w:val="24"/>
          <w:u w:val="single"/>
        </w:rPr>
        <w:t>按照批次据实结算，实际结算金额=活动人数×成交单价（按具体线路），成交单价在服务期限内不可改变。每批次服务完成后达到付款条件起 30 日内，支付每批次总金额的100.00%。</w:t>
      </w:r>
    </w:p>
    <w:p w14:paraId="2AE44D82">
      <w:pPr>
        <w:numPr>
          <w:ilvl w:val="0"/>
          <w:numId w:val="1"/>
        </w:num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采购内容及要求：</w:t>
      </w:r>
      <w:r>
        <w:rPr>
          <w:rFonts w:hint="eastAsia" w:asciiTheme="minorEastAsia" w:hAnsiTheme="minorEastAsia" w:eastAsiaTheme="minorEastAsia" w:cstheme="minorEastAsia"/>
          <w:b/>
          <w:bCs/>
          <w:sz w:val="24"/>
          <w:szCs w:val="24"/>
          <w:u w:val="single"/>
          <w:lang w:val="en-US" w:eastAsia="zh-CN"/>
        </w:rPr>
        <w:t xml:space="preserve">                                    </w:t>
      </w:r>
      <w:bookmarkStart w:id="9" w:name="_GoBack"/>
      <w:bookmarkEnd w:id="9"/>
    </w:p>
    <w:p w14:paraId="21B7A415">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w:t>
      </w:r>
      <w:r>
        <w:rPr>
          <w:rFonts w:hint="eastAsia" w:asciiTheme="minorEastAsia" w:hAnsiTheme="minorEastAsia" w:eastAsiaTheme="minorEastAsia" w:cstheme="minorEastAsia"/>
          <w:b/>
          <w:bCs/>
          <w:sz w:val="24"/>
          <w:szCs w:val="24"/>
          <w:lang w:val="en-US" w:eastAsia="zh-CN"/>
        </w:rPr>
        <w:t>服务</w:t>
      </w:r>
      <w:r>
        <w:rPr>
          <w:rFonts w:hint="eastAsia" w:asciiTheme="minorEastAsia" w:hAnsiTheme="minorEastAsia" w:eastAsiaTheme="minorEastAsia" w:cstheme="minorEastAsia"/>
          <w:b/>
          <w:bCs/>
          <w:sz w:val="24"/>
          <w:szCs w:val="24"/>
        </w:rPr>
        <w:t>时间、地点</w:t>
      </w:r>
    </w:p>
    <w:p w14:paraId="4F07996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服务</w:t>
      </w: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02C9B2D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服务</w:t>
      </w:r>
      <w:r>
        <w:rPr>
          <w:rFonts w:hint="eastAsia" w:asciiTheme="minorEastAsia" w:hAnsiTheme="minorEastAsia" w:eastAsiaTheme="minorEastAsia" w:cstheme="minorEastAsia"/>
          <w:sz w:val="24"/>
          <w:szCs w:val="24"/>
        </w:rPr>
        <w:t>地点：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5D746AE">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六、双方权利与义务：</w:t>
      </w:r>
    </w:p>
    <w:p w14:paraId="7F007F94">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1.甲方权利与义务 </w:t>
      </w:r>
    </w:p>
    <w:p w14:paraId="1F312CAC">
      <w:pPr>
        <w:pStyle w:val="2"/>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（1）按照合同约定支付项目费用。</w:t>
      </w:r>
    </w:p>
    <w:p w14:paraId="1F61110E">
      <w:pPr>
        <w:pStyle w:val="2"/>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遵守法律、法规和有关规定，不在行程中从事违法活动；</w:t>
      </w:r>
    </w:p>
    <w:p w14:paraId="490F7705">
      <w:pPr>
        <w:pStyle w:val="2"/>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要求旅行社按照合同及《行程单》约定履行相关义务；</w:t>
      </w:r>
    </w:p>
    <w:p w14:paraId="6C1139FD">
      <w:pPr>
        <w:pStyle w:val="2"/>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有关法律、法规赋予的其他各项权利。</w:t>
      </w:r>
    </w:p>
    <w:p w14:paraId="318871A9">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2.乙方权利与义务</w:t>
      </w:r>
    </w:p>
    <w:p w14:paraId="2A99347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核实</w:t>
      </w:r>
      <w:r>
        <w:rPr>
          <w:rFonts w:hint="eastAsia" w:asciiTheme="minorEastAsia" w:hAnsiTheme="minorEastAsia" w:eastAsiaTheme="minorEastAsia" w:cstheme="minorEastAsia"/>
          <w:sz w:val="24"/>
          <w:szCs w:val="24"/>
          <w:lang w:val="en-US" w:eastAsia="zh-CN"/>
        </w:rPr>
        <w:t>甲方</w:t>
      </w:r>
      <w:r>
        <w:rPr>
          <w:rFonts w:hint="eastAsia" w:asciiTheme="minorEastAsia" w:hAnsiTheme="minorEastAsia" w:eastAsiaTheme="minorEastAsia" w:cstheme="minorEastAsia"/>
          <w:sz w:val="24"/>
          <w:szCs w:val="24"/>
        </w:rPr>
        <w:t>提供的相关信息资料；</w:t>
      </w:r>
    </w:p>
    <w:p w14:paraId="5BC793F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团队遇紧急情况时，可以采取安全防范措施和紧急避险措施并要求配合；</w:t>
      </w:r>
    </w:p>
    <w:p w14:paraId="5447691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拒绝提出的超出合同约定的不合理要求；</w:t>
      </w:r>
    </w:p>
    <w:p w14:paraId="7D987E50">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按照合同和《行程单》约定的内容和标准提供服务，不擅自变更行程安排；</w:t>
      </w:r>
    </w:p>
    <w:p w14:paraId="4E79727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在出</w:t>
      </w:r>
      <w:r>
        <w:rPr>
          <w:rFonts w:hint="eastAsia" w:asciiTheme="minorEastAsia" w:hAnsiTheme="minorEastAsia" w:eastAsiaTheme="minorEastAsia" w:cstheme="minorEastAsia"/>
          <w:sz w:val="24"/>
          <w:szCs w:val="24"/>
          <w:lang w:val="en-US" w:eastAsia="zh-CN"/>
        </w:rPr>
        <w:t>行</w:t>
      </w:r>
      <w:r>
        <w:rPr>
          <w:rFonts w:hint="eastAsia" w:asciiTheme="minorEastAsia" w:hAnsiTheme="minorEastAsia" w:eastAsiaTheme="minorEastAsia" w:cstheme="minorEastAsia"/>
          <w:sz w:val="24"/>
          <w:szCs w:val="24"/>
        </w:rPr>
        <w:t>前如实告知具体行程安排和有关具体事项，具体事项包括但不限于所到目的地的重要规定、风俗习惯；活动中的安全注意事项和安全避险措施、不适合参加活动的情形；依法可以减免责任的信息；应急联络方式以及法律、法规规定的其他应当告知的事项；</w:t>
      </w:r>
    </w:p>
    <w:p w14:paraId="27F4109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妥善保管旅游者交其代管的证件、行李等物品；</w:t>
      </w:r>
    </w:p>
    <w:p w14:paraId="48C45C0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甲方</w:t>
      </w:r>
      <w:r>
        <w:rPr>
          <w:rFonts w:hint="eastAsia" w:asciiTheme="minorEastAsia" w:hAnsiTheme="minorEastAsia" w:eastAsiaTheme="minorEastAsia" w:cstheme="minorEastAsia"/>
          <w:sz w:val="24"/>
          <w:szCs w:val="24"/>
        </w:rPr>
        <w:t>人身、财产权益受到损害时，应当采取合理必要的保护和救助措施，避免人身、财产权益损失扩大；</w:t>
      </w:r>
    </w:p>
    <w:p w14:paraId="76C3DB5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积极协调处理行程中的纠纷，采取适当措施防止损失扩大；</w:t>
      </w:r>
    </w:p>
    <w:p w14:paraId="576003EC">
      <w:pPr>
        <w:tabs>
          <w:tab w:val="left" w:pos="840"/>
        </w:tabs>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七、质量保证：</w:t>
      </w:r>
    </w:p>
    <w:p w14:paraId="2846DAB2">
      <w:pPr>
        <w:tabs>
          <w:tab w:val="left" w:pos="840"/>
        </w:tabs>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供应商提供的服务，应全面满足</w:t>
      </w:r>
      <w:r>
        <w:rPr>
          <w:rFonts w:hint="eastAsia" w:asciiTheme="minorEastAsia" w:hAnsiTheme="minorEastAsia" w:eastAsiaTheme="minorEastAsia" w:cstheme="minorEastAsia"/>
          <w:sz w:val="24"/>
          <w:szCs w:val="24"/>
          <w:lang w:val="en-US" w:eastAsia="zh-CN"/>
        </w:rPr>
        <w:t>竞争性磋商</w:t>
      </w:r>
      <w:r>
        <w:rPr>
          <w:rFonts w:hint="eastAsia" w:asciiTheme="minorEastAsia" w:hAnsiTheme="minorEastAsia" w:eastAsiaTheme="minorEastAsia" w:cstheme="minorEastAsia"/>
          <w:sz w:val="24"/>
          <w:szCs w:val="24"/>
        </w:rPr>
        <w:t>文件的要求，</w:t>
      </w:r>
      <w:r>
        <w:rPr>
          <w:rFonts w:hint="eastAsia" w:asciiTheme="minorEastAsia" w:hAnsiTheme="minorEastAsia" w:eastAsiaTheme="minorEastAsia" w:cstheme="minorEastAsia"/>
          <w:sz w:val="24"/>
          <w:szCs w:val="24"/>
          <w:lang w:val="en-US" w:eastAsia="zh-CN"/>
        </w:rPr>
        <w:t>竞争性磋商</w:t>
      </w:r>
      <w:r>
        <w:rPr>
          <w:rFonts w:hint="eastAsia" w:asciiTheme="minorEastAsia" w:hAnsiTheme="minorEastAsia" w:eastAsiaTheme="minorEastAsia" w:cstheme="minorEastAsia"/>
          <w:sz w:val="24"/>
          <w:szCs w:val="24"/>
        </w:rPr>
        <w:t>文件未明确要求的内容，供应商须按采购人的补充要求为准。</w:t>
      </w:r>
    </w:p>
    <w:p w14:paraId="24D7A338">
      <w:pPr>
        <w:tabs>
          <w:tab w:val="left" w:pos="840"/>
        </w:tabs>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八、售后服务：</w:t>
      </w:r>
    </w:p>
    <w:p w14:paraId="0EC5DD54">
      <w:pPr>
        <w:tabs>
          <w:tab w:val="left" w:pos="840"/>
        </w:tabs>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九、验收</w:t>
      </w:r>
    </w:p>
    <w:p w14:paraId="1F33E1AE">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1.本项目由采购人进行阶段性验收。</w:t>
      </w:r>
    </w:p>
    <w:p w14:paraId="3F6BF63A">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2.验收标准：按</w:t>
      </w:r>
      <w:r>
        <w:rPr>
          <w:rFonts w:hint="eastAsia" w:asciiTheme="minorEastAsia" w:hAnsiTheme="minorEastAsia" w:eastAsiaTheme="minorEastAsia" w:cstheme="minorEastAsia"/>
          <w:sz w:val="24"/>
          <w:szCs w:val="24"/>
          <w:lang w:val="en-US" w:eastAsia="zh-CN"/>
        </w:rPr>
        <w:t>竞争性磋商</w:t>
      </w:r>
      <w:r>
        <w:rPr>
          <w:rFonts w:hint="eastAsia" w:asciiTheme="minorEastAsia" w:hAnsiTheme="minorEastAsia" w:eastAsiaTheme="minorEastAsia" w:cstheme="minorEastAsia"/>
          <w:sz w:val="24"/>
          <w:szCs w:val="24"/>
        </w:rPr>
        <w:t>文件、</w:t>
      </w:r>
      <w:r>
        <w:rPr>
          <w:rFonts w:hint="eastAsia" w:asciiTheme="minorEastAsia" w:hAnsiTheme="minorEastAsia" w:eastAsiaTheme="minorEastAsia" w:cstheme="minorEastAsia"/>
          <w:sz w:val="24"/>
          <w:szCs w:val="24"/>
          <w:lang w:val="en-US" w:eastAsia="zh-CN"/>
        </w:rPr>
        <w:t>响应</w:t>
      </w:r>
      <w:r>
        <w:rPr>
          <w:rFonts w:hint="eastAsia" w:asciiTheme="minorEastAsia" w:hAnsiTheme="minorEastAsia" w:eastAsiaTheme="minorEastAsia" w:cstheme="minorEastAsia"/>
          <w:sz w:val="24"/>
          <w:szCs w:val="24"/>
        </w:rPr>
        <w:t>文件、项目检查情况等综合指标进行验收。各项指标均应符合验收标准及要求。</w:t>
      </w:r>
    </w:p>
    <w:p w14:paraId="673C00D6">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3.验收合格后，填写验收单，双方签字生效。</w:t>
      </w:r>
    </w:p>
    <w:p w14:paraId="49B88360">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4.验收依据：</w:t>
      </w:r>
    </w:p>
    <w:p w14:paraId="4FC26834">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a)合同文本；</w:t>
      </w:r>
    </w:p>
    <w:p w14:paraId="23E66E3F">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lang w:val="en-US" w:eastAsia="zh-CN"/>
        </w:rPr>
        <w:t>竞争性磋商</w:t>
      </w:r>
      <w:r>
        <w:rPr>
          <w:rFonts w:hint="eastAsia" w:asciiTheme="minorEastAsia" w:hAnsiTheme="minorEastAsia" w:eastAsiaTheme="minorEastAsia" w:cstheme="minorEastAsia"/>
          <w:sz w:val="24"/>
          <w:szCs w:val="24"/>
        </w:rPr>
        <w:t>文件及</w:t>
      </w:r>
      <w:r>
        <w:rPr>
          <w:rFonts w:hint="eastAsia" w:asciiTheme="minorEastAsia" w:hAnsiTheme="minorEastAsia" w:eastAsiaTheme="minorEastAsia" w:cstheme="minorEastAsia"/>
          <w:sz w:val="24"/>
          <w:szCs w:val="24"/>
          <w:lang w:val="en-US" w:eastAsia="zh-CN"/>
        </w:rPr>
        <w:t>响应</w:t>
      </w:r>
      <w:r>
        <w:rPr>
          <w:rFonts w:hint="eastAsia" w:asciiTheme="minorEastAsia" w:hAnsiTheme="minorEastAsia" w:eastAsiaTheme="minorEastAsia" w:cstheme="minorEastAsia"/>
          <w:sz w:val="24"/>
          <w:szCs w:val="24"/>
        </w:rPr>
        <w:t>文件；</w:t>
      </w:r>
    </w:p>
    <w:p w14:paraId="3574B403">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c)国家和行业制定的相应的标准和规范；</w:t>
      </w:r>
    </w:p>
    <w:p w14:paraId="09A3B88F">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d)验收清单。</w:t>
      </w:r>
    </w:p>
    <w:p w14:paraId="4844F2AF">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十、保密</w:t>
      </w:r>
    </w:p>
    <w:p w14:paraId="15731990">
      <w:pPr>
        <w:tabs>
          <w:tab w:val="left" w:pos="1080"/>
        </w:tabs>
        <w:spacing w:line="360" w:lineRule="auto"/>
        <w:ind w:firstLine="360" w:firstLineChars="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对工作中了解到的采购人的技术、机密等进行严格保密，不得向他人泄漏。本合同的解除或终止不免除供应商应承担的保密义务。</w:t>
      </w:r>
    </w:p>
    <w:p w14:paraId="77BBE88E">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十一、合同争议的解决</w:t>
      </w:r>
    </w:p>
    <w:p w14:paraId="4AB09236">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合同执行中发生争议的，当事人双方应协商解决。协商达不成一致时，双方任何一方可向当地行政仲裁机关申请仲裁或者向人民法院提请诉讼。</w:t>
      </w:r>
    </w:p>
    <w:p w14:paraId="1B180BBC">
      <w:pPr>
        <w:spacing w:line="360" w:lineRule="auto"/>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十二、不可抗力情况下的免责约定</w:t>
      </w:r>
    </w:p>
    <w:p w14:paraId="522EFEBF">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双方约定不可抗力情况指：双方不可预见、不可避免、不可克服的客观情况，但不包括双方的违约或疏忽。这些事件包括但不限于：战争、严重火灾、洪水、台风、地震等。</w:t>
      </w:r>
    </w:p>
    <w:p w14:paraId="7640D226">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十三、违约责任</w:t>
      </w:r>
    </w:p>
    <w:p w14:paraId="53B8C2C0">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依据《中华人民共和国民法典》、《中华人民共和国政府采购法》、《中华人民共和国政府采购法实施条例》的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14:paraId="406B5FF2">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十三、其他（</w:t>
      </w:r>
      <w:r>
        <w:rPr>
          <w:rFonts w:hint="eastAsia" w:asciiTheme="minorEastAsia" w:hAnsiTheme="minorEastAsia" w:eastAsiaTheme="minorEastAsia" w:cstheme="minorEastAsia"/>
          <w:sz w:val="24"/>
          <w:szCs w:val="24"/>
        </w:rPr>
        <w:t>在合同中具体明确）</w:t>
      </w:r>
    </w:p>
    <w:p w14:paraId="09C5A017">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十四、合同订立</w:t>
      </w:r>
    </w:p>
    <w:p w14:paraId="3062F2A0">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订立时间：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044173F6">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订立地点：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1ECCFE22">
      <w:pPr>
        <w:tabs>
          <w:tab w:val="left" w:pos="980"/>
        </w:tabs>
        <w:kinsoku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本合同一式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份，具有同等法律效力，双方各执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份。各方签字盖章后生效，合同执行完毕自动失效。（合同的服务承诺则长期有效）。</w:t>
      </w:r>
    </w:p>
    <w:p w14:paraId="2C71B165">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w:t>
      </w:r>
      <w:r>
        <w:rPr>
          <w:rFonts w:hint="eastAsia" w:asciiTheme="minorEastAsia" w:hAnsiTheme="minorEastAsia" w:eastAsiaTheme="minorEastAsia" w:cstheme="minorEastAsia"/>
          <w:sz w:val="24"/>
          <w:szCs w:val="24"/>
          <w:u w:val="single"/>
        </w:rPr>
        <w:t xml:space="preserve">   （盖章）     </w:t>
      </w:r>
      <w:r>
        <w:rPr>
          <w:rFonts w:hint="eastAsia" w:asciiTheme="minorEastAsia" w:hAnsiTheme="minorEastAsia" w:eastAsiaTheme="minorEastAsia" w:cstheme="minorEastAsia"/>
          <w:sz w:val="24"/>
          <w:szCs w:val="24"/>
        </w:rPr>
        <w:t xml:space="preserve">           供应商：</w:t>
      </w:r>
      <w:r>
        <w:rPr>
          <w:rFonts w:hint="eastAsia" w:asciiTheme="minorEastAsia" w:hAnsiTheme="minorEastAsia" w:eastAsiaTheme="minorEastAsia" w:cstheme="minorEastAsia"/>
          <w:sz w:val="24"/>
          <w:szCs w:val="24"/>
          <w:u w:val="single"/>
        </w:rPr>
        <w:t xml:space="preserve">   （盖章）    </w:t>
      </w:r>
    </w:p>
    <w:p w14:paraId="47574399">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地址：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地址： </w:t>
      </w:r>
      <w:r>
        <w:rPr>
          <w:rFonts w:hint="eastAsia" w:asciiTheme="minorEastAsia" w:hAnsiTheme="minorEastAsia" w:eastAsiaTheme="minorEastAsia" w:cstheme="minorEastAsia"/>
          <w:sz w:val="24"/>
          <w:szCs w:val="24"/>
          <w:u w:val="single"/>
        </w:rPr>
        <w:t xml:space="preserve">                      </w:t>
      </w:r>
    </w:p>
    <w:p w14:paraId="71B8F65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邮政编码：</w:t>
      </w:r>
      <w:r>
        <w:rPr>
          <w:rFonts w:hint="eastAsia" w:asciiTheme="minorEastAsia" w:hAnsiTheme="minorEastAsia" w:eastAsiaTheme="minorEastAsia" w:cstheme="minorEastAsia"/>
          <w:sz w:val="24"/>
          <w:szCs w:val="24"/>
          <w:u w:val="single"/>
        </w:rPr>
        <w:t xml:space="preserve">                  </w:t>
      </w:r>
    </w:p>
    <w:p w14:paraId="5101506E">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法定代表人或其授权                 法定代表人或其授权</w:t>
      </w:r>
    </w:p>
    <w:p w14:paraId="092C2B5F">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的代理人：</w:t>
      </w:r>
      <w:r>
        <w:rPr>
          <w:rFonts w:hint="eastAsia" w:asciiTheme="minorEastAsia" w:hAnsiTheme="minorEastAsia" w:eastAsiaTheme="minorEastAsia" w:cstheme="minorEastAsia"/>
          <w:sz w:val="24"/>
          <w:szCs w:val="24"/>
          <w:u w:val="single"/>
        </w:rPr>
        <w:t xml:space="preserve">（签字）      </w:t>
      </w:r>
      <w:r>
        <w:rPr>
          <w:rFonts w:hint="eastAsia" w:asciiTheme="minorEastAsia" w:hAnsiTheme="minorEastAsia" w:eastAsiaTheme="minorEastAsia" w:cstheme="minorEastAsia"/>
          <w:sz w:val="24"/>
          <w:szCs w:val="24"/>
        </w:rPr>
        <w:t xml:space="preserve">           的代理人：</w:t>
      </w:r>
      <w:r>
        <w:rPr>
          <w:rFonts w:hint="eastAsia" w:asciiTheme="minorEastAsia" w:hAnsiTheme="minorEastAsia" w:eastAsiaTheme="minorEastAsia" w:cstheme="minorEastAsia"/>
          <w:sz w:val="24"/>
          <w:szCs w:val="24"/>
          <w:u w:val="single"/>
        </w:rPr>
        <w:t xml:space="preserve">（签字）          </w:t>
      </w:r>
    </w:p>
    <w:p w14:paraId="1DB1C6F6">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开户银行：</w:t>
      </w:r>
      <w:r>
        <w:rPr>
          <w:rFonts w:hint="eastAsia" w:asciiTheme="minorEastAsia" w:hAnsiTheme="minorEastAsia" w:eastAsiaTheme="minorEastAsia" w:cstheme="minorEastAsia"/>
          <w:sz w:val="24"/>
          <w:szCs w:val="24"/>
          <w:u w:val="single"/>
        </w:rPr>
        <w:t xml:space="preserve">                  </w:t>
      </w:r>
    </w:p>
    <w:p w14:paraId="6EBA0EE3">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账号：</w:t>
      </w:r>
      <w:r>
        <w:rPr>
          <w:rFonts w:hint="eastAsia" w:asciiTheme="minorEastAsia" w:hAnsiTheme="minorEastAsia" w:eastAsiaTheme="minorEastAsia" w:cstheme="minorEastAsia"/>
          <w:sz w:val="24"/>
          <w:szCs w:val="24"/>
          <w:u w:val="single"/>
        </w:rPr>
        <w:t xml:space="preserve">                       </w:t>
      </w:r>
    </w:p>
    <w:p w14:paraId="18EFFCC9">
      <w:pPr>
        <w:spacing w:line="360" w:lineRule="auto"/>
        <w:ind w:firstLine="475" w:firstLineChars="1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电话：</w:t>
      </w:r>
      <w:r>
        <w:rPr>
          <w:rFonts w:hint="eastAsia" w:asciiTheme="minorEastAsia" w:hAnsiTheme="minorEastAsia" w:eastAsiaTheme="minorEastAsia" w:cstheme="minorEastAsia"/>
          <w:sz w:val="24"/>
          <w:szCs w:val="24"/>
          <w:u w:val="single"/>
        </w:rPr>
        <w:t xml:space="preserve">                       </w:t>
      </w:r>
    </w:p>
    <w:p w14:paraId="606D4C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0470C0"/>
    <w:multiLevelType w:val="singleLevel"/>
    <w:tmpl w:val="FF0470C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A15B4"/>
    <w:rsid w:val="02087D21"/>
    <w:rsid w:val="16EB41DD"/>
    <w:rsid w:val="2863172E"/>
    <w:rsid w:val="30767FBB"/>
    <w:rsid w:val="4138778D"/>
    <w:rsid w:val="41EA15B4"/>
    <w:rsid w:val="6F422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1"/>
      <w:lang w:val="en-US" w:eastAsia="zh-CN" w:bidi="ar-SA"/>
    </w:rPr>
  </w:style>
  <w:style w:type="paragraph" w:styleId="4">
    <w:name w:val="heading 1"/>
    <w:basedOn w:val="1"/>
    <w:next w:val="1"/>
    <w:qFormat/>
    <w:uiPriority w:val="0"/>
    <w:pPr>
      <w:keepNext/>
      <w:jc w:val="center"/>
      <w:outlineLvl w:val="0"/>
    </w:pPr>
    <w:rPr>
      <w:rFonts w:ascii="Times New Roman" w:hAnsi="Times New Roman"/>
      <w:b/>
      <w:kern w:val="2"/>
      <w:sz w:val="32"/>
    </w:rPr>
  </w:style>
  <w:style w:type="paragraph" w:styleId="5">
    <w:name w:val="heading 2"/>
    <w:basedOn w:val="1"/>
    <w:next w:val="1"/>
    <w:qFormat/>
    <w:uiPriority w:val="9"/>
    <w:pPr>
      <w:keepNext/>
      <w:keepLines/>
      <w:widowControl/>
      <w:jc w:val="center"/>
      <w:outlineLvl w:val="1"/>
    </w:pPr>
    <w:rPr>
      <w:rFonts w:ascii="Times New Roman" w:hAnsi="Times New Roman"/>
      <w:b/>
      <w:bCs/>
      <w:sz w:val="24"/>
      <w:szCs w:val="32"/>
    </w:rPr>
  </w:style>
  <w:style w:type="paragraph" w:styleId="6">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Times New Roman" w:hAnsi="Times New Roman"/>
      <w:kern w:val="2"/>
      <w:szCs w:val="24"/>
    </w:rPr>
  </w:style>
  <w:style w:type="paragraph" w:styleId="3">
    <w:name w:val="toc 4"/>
    <w:basedOn w:val="1"/>
    <w:next w:val="1"/>
    <w:unhideWhenUsed/>
    <w:qFormat/>
    <w:uiPriority w:val="39"/>
    <w:pPr>
      <w:ind w:left="1260" w:leftChars="600"/>
    </w:pPr>
  </w:style>
  <w:style w:type="paragraph" w:styleId="7">
    <w:name w:val="Body Text"/>
    <w:basedOn w:val="1"/>
    <w:next w:val="1"/>
    <w:unhideWhenUsed/>
    <w:qFormat/>
    <w:uiPriority w:val="99"/>
    <w:pPr>
      <w:spacing w:after="120"/>
    </w:pPr>
  </w:style>
  <w:style w:type="paragraph" w:styleId="8">
    <w:name w:val="Body Text 2"/>
    <w:basedOn w:val="1"/>
    <w:qFormat/>
    <w:uiPriority w:val="0"/>
    <w:rPr>
      <w:rFonts w:ascii="楷体_GB2312" w:hAnsi="Copperplate Gothic Bold" w:eastAsia="楷体_GB2312"/>
      <w:kern w:val="2"/>
      <w:sz w:val="28"/>
    </w:rPr>
  </w:style>
  <w:style w:type="paragraph" w:styleId="9">
    <w:name w:val="Body Text First Indent"/>
    <w:basedOn w:val="7"/>
    <w:unhideWhenUsed/>
    <w:qFormat/>
    <w:uiPriority w:val="99"/>
    <w:pPr>
      <w:ind w:firstLine="420" w:firstLineChars="100"/>
    </w:pPr>
  </w:style>
  <w:style w:type="paragraph" w:customStyle="1" w:styleId="12">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1672</Words>
  <Characters>1702</Characters>
  <Lines>0</Lines>
  <Paragraphs>0</Paragraphs>
  <TotalTime>8</TotalTime>
  <ScaleCrop>false</ScaleCrop>
  <LinksUpToDate>false</LinksUpToDate>
  <CharactersWithSpaces>2422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2024-09-05T01:59:00Z</dcterms:created>
  <dc:creator>Administrator</dc:creator>
  <cp:lastModifiedBy>彤Tion</cp:lastModifiedBy>
  <dcterms:modified xsi:type="dcterms:W3CDTF">2025-07-11T12:31:45Z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3C721F7BC5C9455DB486B844107F1585_13</vt:lpwstr>
  </property>
  <property fmtid="{D5CDD505-2E9C-101B-9397-08002B2CF9AE}" pid="4" name="KSOTemplateDocerSaveRecord">
    <vt:lpwstr>eyJoZGlkIjoiOWYxYzdkNDc2ZTM0Mzg3YTQ3OWVlYTU3MjI2MmNjM2QiLCJ1c2VySWQiOiI1NjU5NDE0NjAifQ==</vt:lpwstr>
  </property>
</Properties>
</file>