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版本号：SDZC2025-12620250711001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西门院区电梯运行人员服务外包项目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西门院区电梯运行人员服务外包项目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西门院区电梯运行人员服务外包项目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对电梯安全运行的相关规定,为有效疏导各类人员上下电梯拥堵、提高手术转运效率、延长电梯使用寿命，西安市儿童医院将聘请专业的电梯运行服务公司，对医院所使用的33台电梯进行合理规范操作电梯，引导医护及患者，保障电梯日常运行安全及故障时的应急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采购包1（西门院区电梯运行人员服务外包项目）：属于专门面向中小企业采购。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曹幸（03号工位）、杨宗峰、魏蕾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下浮20%。 汇款账户：1.开户行名称：陕西上德招标有限公司 2.开 户 行：西安银行股份有限公司文景路支行 3.账 号：7070 1151 0000 0135 22 4.西安银行文景路行号：313791000509 财务部联系方式： 029-86673953、029-86518381、029-89299829、029-89293231 转814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符合国家、行业相关标准及医院服务要求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联系人：曹幸(03号工位)、杨宗峰、魏蕾</w:t>
      </w:r>
    </w:p>
    <w:p>
      <w:pPr>
        <w:pStyle w:val="null3"/>
      </w:pPr>
      <w:r>
        <w:rPr>
          <w:rFonts w:ascii="仿宋_GB2312" w:hAnsi="仿宋_GB2312" w:cs="仿宋_GB2312" w:eastAsia="仿宋_GB2312"/>
        </w:rPr>
        <w:t>联系电话：029-86673953、86518381转803</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对电梯安全运行的相关规定,为有效疏导各类人员上下电梯拥堵、提高手术转运效率、延长电梯使用寿命，西安市儿童医院将聘请专业的电梯运行服务公司，对医院所使用的33台电梯进行合理规范操作电梯，引导医护及患者，保障电梯日常运行安全及故障时的应急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电梯运行人员服务外包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标的名称：电梯运行人员服务外包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9"/>
            </w:tblGrid>
            <w:tr>
              <w:tc>
                <w:tcPr>
                  <w:tcW w:type="dxa" w:w="2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项目概况：</w:t>
                  </w:r>
                </w:p>
                <w:p>
                  <w:pPr>
                    <w:pStyle w:val="null3"/>
                    <w:spacing w:before="150"/>
                    <w:ind w:firstLine="480"/>
                    <w:jc w:val="both"/>
                  </w:pPr>
                  <w:r>
                    <w:rPr>
                      <w:rFonts w:ascii="仿宋_GB2312" w:hAnsi="仿宋_GB2312" w:cs="仿宋_GB2312" w:eastAsia="仿宋_GB2312"/>
                      <w:sz w:val="24"/>
                      <w:shd w:fill="FFFFFF" w:val="clear"/>
                    </w:rPr>
                    <w:t>按照国家对电梯安全运行的相关规定，为有效疏导各类人员上下电梯拥堵、提高手术转运效率、延长电梯使用寿命，医院将聘请专业的电梯运行服务公司，对医院所使用的</w:t>
                  </w:r>
                  <w:r>
                    <w:rPr>
                      <w:rFonts w:ascii="仿宋_GB2312" w:hAnsi="仿宋_GB2312" w:cs="仿宋_GB2312" w:eastAsia="仿宋_GB2312"/>
                      <w:sz w:val="24"/>
                      <w:shd w:fill="FFFFFF" w:val="clear"/>
                    </w:rPr>
                    <w:t>33台电梯进行合理规范操作电梯，引导医护及患者，保障电梯日常运行安全及故障时的应急处理。</w:t>
                  </w:r>
                </w:p>
              </w:tc>
            </w:tr>
            <w:tr>
              <w:tc>
                <w:tcPr>
                  <w:tcW w:type="dxa" w:w="25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工作区域：</w:t>
                  </w:r>
                </w:p>
                <w:p>
                  <w:pPr>
                    <w:pStyle w:val="null3"/>
                    <w:ind w:firstLine="480"/>
                    <w:jc w:val="left"/>
                  </w:pPr>
                  <w:r>
                    <w:rPr>
                      <w:rFonts w:ascii="仿宋_GB2312" w:hAnsi="仿宋_GB2312" w:cs="仿宋_GB2312" w:eastAsia="仿宋_GB2312"/>
                      <w:sz w:val="24"/>
                    </w:rPr>
                    <w:t>1、根据甲方所指定的区域做好电梯系统的日常运行服务、清洁消毒、巡检、安全应急等工作，并符合《中华人民共和国安全生产法》的标准。（下列为所指定区域的电梯类型与数量）</w:t>
                  </w:r>
                </w:p>
                <w:tbl>
                  <w:tblPr>
                    <w:tblBorders>
                      <w:top w:val="none" w:color="000000" w:sz="4"/>
                      <w:left w:val="none" w:color="000000" w:sz="4"/>
                      <w:bottom w:val="none" w:color="000000" w:sz="4"/>
                      <w:right w:val="none" w:color="000000" w:sz="4"/>
                      <w:insideH w:val="none"/>
                      <w:insideV w:val="none"/>
                    </w:tblBorders>
                  </w:tblPr>
                  <w:tblGrid>
                    <w:gridCol w:w="228"/>
                    <w:gridCol w:w="355"/>
                    <w:gridCol w:w="699"/>
                    <w:gridCol w:w="1046"/>
                  </w:tblGrid>
                  <w:tr>
                    <w:tc>
                      <w:tcPr>
                        <w:tcW w:type="dxa" w:w="232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西安市儿童医院电梯设备清单</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注册代码</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安装详细地址</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自动扶梯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35006101042013120001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门诊扶梯</w:t>
                        </w:r>
                        <w:r>
                          <w:rPr>
                            <w:rFonts w:ascii="仿宋_GB2312" w:hAnsi="仿宋_GB2312" w:cs="仿宋_GB2312" w:eastAsia="仿宋_GB2312"/>
                            <w:sz w:val="24"/>
                          </w:rPr>
                          <w:t>1-2东</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自动扶梯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35006101042013120004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门诊扶梯</w:t>
                        </w:r>
                        <w:r>
                          <w:rPr>
                            <w:rFonts w:ascii="仿宋_GB2312" w:hAnsi="仿宋_GB2312" w:cs="仿宋_GB2312" w:eastAsia="仿宋_GB2312"/>
                            <w:sz w:val="24"/>
                          </w:rPr>
                          <w:t>1-2西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自动扶梯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35006101042013120002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门诊扶梯</w:t>
                        </w:r>
                        <w:r>
                          <w:rPr>
                            <w:rFonts w:ascii="仿宋_GB2312" w:hAnsi="仿宋_GB2312" w:cs="仿宋_GB2312" w:eastAsia="仿宋_GB2312"/>
                            <w:sz w:val="24"/>
                          </w:rPr>
                          <w:t>2-3东</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自动扶梯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35006101042013120003</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门诊扶梯</w:t>
                        </w:r>
                        <w:r>
                          <w:rPr>
                            <w:rFonts w:ascii="仿宋_GB2312" w:hAnsi="仿宋_GB2312" w:cs="仿宋_GB2312" w:eastAsia="仿宋_GB2312"/>
                            <w:sz w:val="24"/>
                          </w:rPr>
                          <w:t>2-3西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31706101042013120002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门诊楼</w:t>
                        </w:r>
                        <w:r>
                          <w:rPr>
                            <w:rFonts w:ascii="仿宋_GB2312" w:hAnsi="仿宋_GB2312" w:cs="仿宋_GB2312" w:eastAsia="仿宋_GB2312"/>
                            <w:sz w:val="24"/>
                          </w:rPr>
                          <w:t>1#</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31706101042013120001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门诊楼</w:t>
                        </w:r>
                        <w:r>
                          <w:rPr>
                            <w:rFonts w:ascii="仿宋_GB2312" w:hAnsi="仿宋_GB2312" w:cs="仿宋_GB2312" w:eastAsia="仿宋_GB2312"/>
                            <w:sz w:val="24"/>
                          </w:rPr>
                          <w:t>2#</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31106101042013120004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门诊楼</w:t>
                        </w:r>
                        <w:r>
                          <w:rPr>
                            <w:rFonts w:ascii="仿宋_GB2312" w:hAnsi="仿宋_GB2312" w:cs="仿宋_GB2312" w:eastAsia="仿宋_GB2312"/>
                            <w:sz w:val="24"/>
                          </w:rPr>
                          <w:t>3#</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31706101042013120003</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门诊楼</w:t>
                        </w:r>
                        <w:r>
                          <w:rPr>
                            <w:rFonts w:ascii="仿宋_GB2312" w:hAnsi="仿宋_GB2312" w:cs="仿宋_GB2312" w:eastAsia="仿宋_GB2312"/>
                            <w:sz w:val="24"/>
                          </w:rPr>
                          <w:t>4#</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31106101042016090019</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住院一部</w:t>
                        </w:r>
                        <w:r>
                          <w:rPr>
                            <w:rFonts w:ascii="仿宋_GB2312" w:hAnsi="仿宋_GB2312" w:cs="仿宋_GB2312" w:eastAsia="仿宋_GB2312"/>
                            <w:sz w:val="24"/>
                          </w:rPr>
                          <w:t>1#</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31106101042016090020</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住院一部</w:t>
                        </w:r>
                        <w:r>
                          <w:rPr>
                            <w:rFonts w:ascii="仿宋_GB2312" w:hAnsi="仿宋_GB2312" w:cs="仿宋_GB2312" w:eastAsia="仿宋_GB2312"/>
                            <w:sz w:val="24"/>
                          </w:rPr>
                          <w:t>2#</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30106101042004060003</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住院一部西污梯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31106101042016090021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住院一部新污梯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30106101042005100009</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1#</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30106101042005100011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2#</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30106101042005100010</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3#</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30106101042005100012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4#</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30126101042005100001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5#</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30126101042005100002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6#</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30126101042005100003</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住院二部新</w:t>
                        </w:r>
                        <w:r>
                          <w:rPr>
                            <w:rFonts w:ascii="仿宋_GB2312" w:hAnsi="仿宋_GB2312" w:cs="仿宋_GB2312" w:eastAsia="仿宋_GB2312"/>
                            <w:sz w:val="24"/>
                          </w:rPr>
                          <w:t>7#</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34006101042006050004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住院二部杂污梯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30126101042005100005</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住院二部西污梯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30126101042005100004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住院二部北污梯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31306101042013120002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感染患者病房患者</w:t>
                        </w:r>
                      </w:p>
                      <w:p>
                        <w:pPr>
                          <w:pStyle w:val="null3"/>
                          <w:jc w:val="left"/>
                        </w:pPr>
                        <w:r>
                          <w:rPr>
                            <w:rFonts w:ascii="仿宋_GB2312" w:hAnsi="仿宋_GB2312" w:cs="仿宋_GB2312" w:eastAsia="仿宋_GB2312"/>
                            <w:sz w:val="24"/>
                          </w:rPr>
                          <w:t>电梯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31306101042013120001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感染病房污梯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31306101042013120003</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感染病医用梯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31106101042016050040</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科教楼观光梯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31106101042023019996</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药学楼客梯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杂物梯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31106101042022129976</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工子楼南楼污梯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31106101042023049994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住院三部大厅东</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31106101042023049991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住院三部大厅西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31106101042023069964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住院三部大厅污梯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31106101042023069968</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住院三部西污梯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乘客电梯</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31106101042024070224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住院三部东污梯</w:t>
                        </w:r>
                      </w:p>
                    </w:tc>
                  </w:tr>
                </w:tbl>
                <w:p>
                  <w:pPr>
                    <w:pStyle w:val="null3"/>
                    <w:ind w:firstLine="480"/>
                    <w:jc w:val="left"/>
                  </w:pPr>
                  <w:r>
                    <w:rPr>
                      <w:rFonts w:ascii="仿宋_GB2312" w:hAnsi="仿宋_GB2312" w:cs="仿宋_GB2312" w:eastAsia="仿宋_GB2312"/>
                      <w:sz w:val="24"/>
                    </w:rPr>
                    <w:t>2、工作内容：电梯运行人员必须经安全技术培训合格并取得相关资格证书后方可上岗。（国家认可的资质）</w:t>
                  </w:r>
                </w:p>
                <w:p>
                  <w:pPr>
                    <w:pStyle w:val="null3"/>
                    <w:ind w:firstLine="480"/>
                    <w:jc w:val="left"/>
                  </w:pPr>
                  <w:r>
                    <w:rPr>
                      <w:rFonts w:ascii="仿宋_GB2312" w:hAnsi="仿宋_GB2312" w:cs="仿宋_GB2312" w:eastAsia="仿宋_GB2312"/>
                      <w:sz w:val="24"/>
                    </w:rPr>
                    <w:t>3、电梯运行人员必须熟悉所操作电梯的性能、功能，认真阅读本台电梯的使用维护说明书。</w:t>
                  </w:r>
                </w:p>
                <w:p>
                  <w:pPr>
                    <w:pStyle w:val="null3"/>
                    <w:spacing w:after="120"/>
                    <w:jc w:val="both"/>
                  </w:pPr>
                  <w:r>
                    <w:rPr>
                      <w:rFonts w:ascii="仿宋_GB2312" w:hAnsi="仿宋_GB2312" w:cs="仿宋_GB2312" w:eastAsia="仿宋_GB2312"/>
                      <w:sz w:val="24"/>
                    </w:rPr>
                    <w:t xml:space="preserve">    </w:t>
                  </w:r>
                  <w:r>
                    <w:rPr>
                      <w:rFonts w:ascii="仿宋_GB2312" w:hAnsi="仿宋_GB2312" w:cs="仿宋_GB2312" w:eastAsia="仿宋_GB2312"/>
                      <w:sz w:val="24"/>
                    </w:rPr>
                    <w:t>4、乙方需对上述电梯进行合理的人员配备与工作安排，出具详细的排班表、人员工作区域划分与人员工作内容明细，并通过甲方审核。</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、保障全院电梯正常使用，全年无重大事故出现。</w:t>
                  </w:r>
                </w:p>
              </w:tc>
            </w:tr>
            <w:tr>
              <w:tc>
                <w:tcPr>
                  <w:tcW w:type="dxa" w:w="25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三、技术要求：</w:t>
                  </w:r>
                </w:p>
                <w:p>
                  <w:pPr>
                    <w:pStyle w:val="null3"/>
                    <w:jc w:val="both"/>
                  </w:pPr>
                  <w:r>
                    <w:rPr>
                      <w:rFonts w:ascii="仿宋_GB2312" w:hAnsi="仿宋_GB2312" w:cs="仿宋_GB2312" w:eastAsia="仿宋_GB2312"/>
                      <w:sz w:val="24"/>
                    </w:rPr>
                    <w:t>具有安全管理员证且持证上岗，按照甲方需求进行岗位变动。</w:t>
                  </w:r>
                  <w:r>
                    <w:rPr>
                      <w:rFonts w:ascii="仿宋_GB2312" w:hAnsi="仿宋_GB2312" w:cs="仿宋_GB2312" w:eastAsia="仿宋_GB2312"/>
                      <w:sz w:val="24"/>
                    </w:rPr>
                    <w:t>需具有《特种设备作业证书》</w:t>
                  </w:r>
                  <w:r>
                    <w:rPr>
                      <w:rFonts w:ascii="仿宋_GB2312" w:hAnsi="仿宋_GB2312" w:cs="仿宋_GB2312" w:eastAsia="仿宋_GB2312"/>
                      <w:sz w:val="24"/>
                    </w:rPr>
                    <w:t>A证</w:t>
                  </w:r>
                  <w:r>
                    <w:rPr>
                      <w:rFonts w:ascii="仿宋_GB2312" w:hAnsi="仿宋_GB2312" w:cs="仿宋_GB2312" w:eastAsia="仿宋_GB2312"/>
                      <w:sz w:val="24"/>
                    </w:rPr>
                    <w:t>。</w:t>
                  </w:r>
                </w:p>
              </w:tc>
            </w:tr>
            <w:tr>
              <w:tc>
                <w:tcPr>
                  <w:tcW w:type="dxa" w:w="25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负责医院电梯系统的日常运行服务、清洁消毒、巡检、安全应急等工作，并符合</w:t>
                  </w:r>
                  <w:r>
                    <w:rPr>
                      <w:rFonts w:ascii="仿宋_GB2312" w:hAnsi="仿宋_GB2312" w:cs="仿宋_GB2312" w:eastAsia="仿宋_GB2312"/>
                      <w:sz w:val="24"/>
                    </w:rPr>
                    <w:t>《中华人民共和国安全生产法》的</w:t>
                  </w:r>
                  <w:r>
                    <w:rPr>
                      <w:rFonts w:ascii="仿宋_GB2312" w:hAnsi="仿宋_GB2312" w:cs="仿宋_GB2312" w:eastAsia="仿宋_GB2312"/>
                      <w:sz w:val="24"/>
                    </w:rPr>
                    <w:t>标准。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服务人员年龄应在</w:t>
                  </w:r>
                  <w:r>
                    <w:rPr>
                      <w:rFonts w:ascii="仿宋_GB2312" w:hAnsi="仿宋_GB2312" w:cs="仿宋_GB2312" w:eastAsia="仿宋_GB2312"/>
                      <w:sz w:val="24"/>
                    </w:rPr>
                    <w:t>20－40岁之间，身高1.60米以上，初中以上文化，身体健康，无不适宜电梯员工作的疾病，如精神方面、视力方面等疾病,上岗前提供三甲医院的相关检查报告,如有更换人员,新上岗的服务人员也需提供相关检查报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对指定区域的服务每日执行时间为三班二十四小时。</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电梯员工作期间既要文明、礼貌待人又要做到尽职尽责。</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上班期间不得迟到早退、脱岗</w:t>
                  </w:r>
                  <w:r>
                    <w:rPr>
                      <w:rFonts w:ascii="仿宋_GB2312" w:hAnsi="仿宋_GB2312" w:cs="仿宋_GB2312" w:eastAsia="仿宋_GB2312"/>
                      <w:sz w:val="24"/>
                    </w:rPr>
                    <w:t>,严格执行交接班制度,交接班时应明确任务和上一班遗留问题并填写交接班记录,认真填写电梯员工作记录表。若发现存在故障，应立刻分别转告接班人及业主的维修承包商及时处理，电梯如有任何异样，应及时向业主方报告。每月对所配备的电梯运行人员进行专业技能培训，每季度进行一次电梯困人、火灾、停电、紧急故障等突发状况的应急演练，并进行总结。由甲方项目负责人进行审核，不合格则根据考核表扣除分值。</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业主方有权拒绝使用中标人不合格的工作人员，中标人必须及时更换和补充服务人员。</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需做好人员储备，随时准备提前上岗，实际时间以业主方通知为准。</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如电梯服务人员达不到上述服务标准</w:t>
                  </w:r>
                  <w:r>
                    <w:rPr>
                      <w:rFonts w:ascii="仿宋_GB2312" w:hAnsi="仿宋_GB2312" w:cs="仿宋_GB2312" w:eastAsia="仿宋_GB2312"/>
                      <w:sz w:val="24"/>
                    </w:rPr>
                    <w:t>,业主方有权将其退回。</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为完成工作所需的一切办公用品、清洁用品及人员服装、保险、福利、加班费等一切费用由中标人承担。</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出现问题或突发情况时，中标人应及时做出反应解决问题或突发情况。</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负责电梯的可靠安全运行及清洁消毒等工作。</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电梯员必须经地、市质量技术监督安全监察机构的安全技术培训合格后方可上岗。</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负责建立建全电梯运行档案，收集、整理和完善电梯运行资料。</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合理安排人力、物力，认真组织实施和执行制定的有关电梯服务计划</w:t>
                  </w:r>
                  <w:r>
                    <w:rPr>
                      <w:rFonts w:ascii="仿宋_GB2312" w:hAnsi="仿宋_GB2312" w:cs="仿宋_GB2312" w:eastAsia="仿宋_GB2312"/>
                      <w:sz w:val="24"/>
                    </w:rPr>
                    <w:t>,在电梯正常运行期间，如若出现乘客违规乘梯，电梯运行人员未能及时制止导致任何不良后果，由乙方出面与乘客协商并承担后续一切赔偿费用(ps:若因此给甲方带来任何不良影响，则另需承担甲方损失。)</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电梯员必须熟悉所操作电梯的性能、功能，认真阅读本台电梯的使用维护说明书。</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负责迎接上级部门的检查、检测，及时协调处理有关问题。</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工作人员统一着装、按时上岗，衣着整洁、佩戴胸卡。</w:t>
                  </w:r>
                </w:p>
                <w:p>
                  <w:pPr>
                    <w:pStyle w:val="null3"/>
                    <w:ind w:firstLine="480"/>
                    <w:jc w:val="left"/>
                  </w:pPr>
                  <w:r>
                    <w:rPr>
                      <w:rFonts w:ascii="仿宋_GB2312" w:hAnsi="仿宋_GB2312" w:cs="仿宋_GB2312" w:eastAsia="仿宋_GB2312"/>
                      <w:sz w:val="24"/>
                    </w:rPr>
                    <w:t>18、</w:t>
                  </w:r>
                  <w:r>
                    <w:rPr>
                      <w:rFonts w:ascii="仿宋_GB2312" w:hAnsi="仿宋_GB2312" w:cs="仿宋_GB2312" w:eastAsia="仿宋_GB2312"/>
                      <w:sz w:val="24"/>
                    </w:rPr>
                    <w:t>制定完善的员工考核标准及检查表格。</w:t>
                  </w:r>
                </w:p>
                <w:p>
                  <w:pPr>
                    <w:pStyle w:val="null3"/>
                    <w:ind w:firstLine="480"/>
                    <w:jc w:val="left"/>
                  </w:pPr>
                  <w:r>
                    <w:rPr>
                      <w:rFonts w:ascii="仿宋_GB2312" w:hAnsi="仿宋_GB2312" w:cs="仿宋_GB2312" w:eastAsia="仿宋_GB2312"/>
                      <w:sz w:val="24"/>
                    </w:rPr>
                    <w:t>19、</w:t>
                  </w:r>
                  <w:r>
                    <w:rPr>
                      <w:rFonts w:ascii="仿宋_GB2312" w:hAnsi="仿宋_GB2312" w:cs="仿宋_GB2312" w:eastAsia="仿宋_GB2312"/>
                      <w:sz w:val="24"/>
                    </w:rPr>
                    <w:t>必须服从业主方的规章制度及管理。</w:t>
                  </w:r>
                </w:p>
                <w:p>
                  <w:pPr>
                    <w:pStyle w:val="null3"/>
                    <w:ind w:firstLine="480"/>
                    <w:jc w:val="left"/>
                  </w:pPr>
                  <w:r>
                    <w:rPr>
                      <w:rFonts w:ascii="仿宋_GB2312" w:hAnsi="仿宋_GB2312" w:cs="仿宋_GB2312" w:eastAsia="仿宋_GB2312"/>
                      <w:sz w:val="24"/>
                    </w:rPr>
                    <w:t>20、</w:t>
                  </w:r>
                  <w:r>
                    <w:rPr>
                      <w:rFonts w:ascii="仿宋_GB2312" w:hAnsi="仿宋_GB2312" w:cs="仿宋_GB2312" w:eastAsia="仿宋_GB2312"/>
                      <w:sz w:val="24"/>
                    </w:rPr>
                    <w:t>针对业主方的实际情况和需求来制定各种电梯的操作规程。</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不得将本项目进行分包或转包。</w:t>
                  </w:r>
                </w:p>
                <w:p>
                  <w:pPr>
                    <w:pStyle w:val="null3"/>
                    <w:ind w:firstLine="480"/>
                    <w:jc w:val="both"/>
                  </w:pPr>
                  <w:r>
                    <w:rPr>
                      <w:rFonts w:ascii="仿宋_GB2312" w:hAnsi="仿宋_GB2312" w:cs="仿宋_GB2312" w:eastAsia="仿宋_GB2312"/>
                      <w:sz w:val="24"/>
                    </w:rPr>
                    <w:t>22、严格遵循《中华人民共和国劳动法》，人员工资不得低于本地区最低工资标准。</w:t>
                  </w:r>
                </w:p>
              </w:tc>
            </w:tr>
            <w:tr>
              <w:tc>
                <w:tcPr>
                  <w:tcW w:type="dxa" w:w="25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1、运行管理员需具有“特种设备管理证”等此类证件及管理证书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、严格按照服务内容保证医院电梯干净整洁</w:t>
                  </w:r>
                  <w:r>
                    <w:rPr>
                      <w:rFonts w:ascii="仿宋_GB2312" w:hAnsi="仿宋_GB2312" w:cs="仿宋_GB2312" w:eastAsia="仿宋_GB2312"/>
                      <w:sz w:val="24"/>
                    </w:rPr>
                    <w:t>，做好引导、礼仪及应急事件处置。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、验收标准或规范：现行的国家标准或国家行政部门颁布的法律法规、规章制度等，没有国家标准的可参考行业标准。</w:t>
                  </w:r>
                </w:p>
              </w:tc>
            </w:tr>
          </w:tbl>
          <w:p>
            <w:pPr>
              <w:pStyle w:val="null3"/>
              <w:jc w:val="center"/>
            </w:pPr>
            <w:r>
              <w:rPr>
                <w:rFonts w:ascii="仿宋_GB2312" w:hAnsi="仿宋_GB2312" w:cs="仿宋_GB2312" w:eastAsia="仿宋_GB2312"/>
                <w:sz w:val="24"/>
                <w:b/>
              </w:rPr>
              <w:t xml:space="preserve">                     附表一</w:t>
            </w:r>
          </w:p>
          <w:p>
            <w:pPr>
              <w:pStyle w:val="null3"/>
            </w:pPr>
            <w:r>
              <w:rPr>
                <w:rFonts w:ascii="仿宋_GB2312" w:hAnsi="仿宋_GB2312" w:cs="仿宋_GB2312" w:eastAsia="仿宋_GB2312"/>
                <w:sz w:val="24"/>
                <w:b/>
              </w:rPr>
              <w:t xml:space="preserve">           西安市儿童医院电梯运行服务综合考核表</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bl>
            <w:tblPr>
              <w:tblBorders>
                <w:top w:val="none" w:color="000000" w:sz="4"/>
                <w:left w:val="none" w:color="000000" w:sz="4"/>
                <w:bottom w:val="none" w:color="000000" w:sz="4"/>
                <w:right w:val="none" w:color="000000" w:sz="4"/>
                <w:insideH w:val="none"/>
                <w:insideV w:val="none"/>
              </w:tblBorders>
            </w:tblPr>
            <w:tblGrid>
              <w:gridCol w:w="206"/>
              <w:gridCol w:w="369"/>
              <w:gridCol w:w="567"/>
              <w:gridCol w:w="849"/>
              <w:gridCol w:w="273"/>
              <w:gridCol w:w="266"/>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考核标准</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2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电梯的清洁与消毒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30分）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电梯轿厢内地面</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干净、无污渍、无纸屑、烟头</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电梯轿厢内不锈钢</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无污渍、无灰尘、保持不锈钢金属光泽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电梯轿厢内灯饰、标识及按钮</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无尘、无渍、无蜘蛛网</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按钮</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无尘、无责</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扶梯</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无污渍、无水渍、扶手无灰尘</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电梯的消毒</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每天对轿厢内按钮、扶梯扶手消毒一次，并填写消毒记录</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礼仪服务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服装统一</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穿着统一工服，佩戴工牌。服装整洁、无污染、无破损</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仪容仪表</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面容整洁、发型整齐、仪表端正、举止大方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文明用语</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正确使用文明用语，无文明禁语，不谈论病人隐私，不与他人发生争执</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工作态度</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工作时间无会客、打闹、扎堆闲聊、玩手机、吃东西等行为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30分）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规范操作和使用电梯</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按照电梯安全操作规范相关内容规范操作和使用电梯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日常巡检</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相关内容对电梯进行日常巡检，并记录</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异常情况记录与报告</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发现异常情况及时记录并报告相关部门，并填写《电梯故障报修登记表》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交接班记录</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交接班时正确填写《交接班记录表》，并及时归档、收集整理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熟悉电梯事故应急预案内容及程序，并积极参加电梯事故应急预案和救援方案演练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满意度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服从医院管理</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配合各级部门的相关工作安排，服从主管部门的监督检查，完成每月每季的培训及演练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vMerge/>
                  <w:tcBorders>
                    <w:top w:val="none" w:color="000000" w:sz="4"/>
                    <w:left w:val="singl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重大事件控制</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无安全事故、纠纷、新闻媒体曝光等重大恶性事件</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w:t>
                  </w:r>
                  <w:r>
                    <w:rPr>
                      <w:rFonts w:ascii="仿宋_GB2312" w:hAnsi="仿宋_GB2312" w:cs="仿宋_GB2312" w:eastAsia="仿宋_GB2312"/>
                      <w:sz w:val="24"/>
                    </w:rPr>
                    <w:t>分</w:t>
                  </w:r>
                  <w:r>
                    <w:rPr>
                      <w:rFonts w:ascii="仿宋_GB2312" w:hAnsi="仿宋_GB2312" w:cs="仿宋_GB2312" w:eastAsia="仿宋_GB2312"/>
                      <w:sz w:val="24"/>
                    </w:rPr>
                    <w:t>100</w:t>
                  </w:r>
                </w:p>
              </w:tc>
              <w:tc>
                <w:tcPr>
                  <w:tcW w:type="dxa" w:w="195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得分：</w:t>
                  </w:r>
                  <w:r>
                    <w:rPr>
                      <w:rFonts w:ascii="仿宋_GB2312" w:hAnsi="仿宋_GB2312" w:cs="仿宋_GB2312" w:eastAsia="仿宋_GB2312"/>
                      <w:sz w:val="24"/>
                    </w:rPr>
                    <w:t xml:space="preserve">            </w:t>
                  </w:r>
                </w:p>
              </w:tc>
            </w:tr>
          </w:tbl>
          <w:p>
            <w:pPr>
              <w:pStyle w:val="null3"/>
              <w:spacing w:after="120"/>
              <w:ind w:firstLine="210"/>
            </w:pPr>
            <w:r>
              <w:rPr>
                <w:rFonts w:ascii="仿宋_GB2312" w:hAnsi="仿宋_GB2312" w:cs="仿宋_GB2312" w:eastAsia="仿宋_GB2312"/>
                <w:sz w:val="24"/>
              </w:rPr>
              <w:t xml:space="preserve">                                                                           </w:t>
            </w:r>
            <w:r>
              <w:rPr>
                <w:rFonts w:ascii="仿宋_GB2312" w:hAnsi="仿宋_GB2312" w:cs="仿宋_GB2312" w:eastAsia="仿宋_GB2312"/>
                <w:sz w:val="24"/>
              </w:rPr>
              <w:t>考核人员签字：</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备注：总分值</w:t>
            </w:r>
            <w:r>
              <w:rPr>
                <w:rFonts w:ascii="仿宋_GB2312" w:hAnsi="仿宋_GB2312" w:cs="仿宋_GB2312" w:eastAsia="仿宋_GB2312"/>
                <w:sz w:val="24"/>
              </w:rPr>
              <w:t>100分，每次考核分值达到90分（含）以上，视为考核合格，支付本月全部服务费，考核分值70分至89分，则扣除当月10%服务费；考核分值61分至69分则扣除当月20%服务费；考核分值不足60分（含），则扣除当月全部服务费，且甲方有权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西安市儿童医院西门院区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1.考核 服务期间，采购人将对响应人的人员调配、响应程度、工作效率、职业道德、业务能力、服务质量等情况进行考核，考核与评价结果将直接影响响应人服务期内的服务资格。 2.响应人的退出和终止 出现下列情况之一的，由采购人记录在案，同时执行退出机制： （1）响应人考核结果为不合格的； （2）响应人被发现有围标、串标等不良行为；提供与合同不符的服务；或在操作中出现违反行业或国家政策、法律、法规之行为的； （3）采购人通过其他途径确切了解到响应人产生了不良信用记录的； （4）响应人隐瞒事实或未尽到通知义务、披露义务，造成采购人的利益和形象受到损失的； （5）响应人有重大违法、违规行为，被媒体公示的； （6）响应人出现任何商业欺诈行为和商业贿赂行为； （7）因代理服务过程中出现重大纰漏、给采购人直接或间接造成声誉和经济损失的； （8）在服务期内，响应人未经采购人同意更换项目团队人员或经采购人允许更换项目团队人员后业务水平、服务质量等下降明显的； （9）采购人将综合考虑响应人在实际工作中的工作表现、工作态度及工作效率等方面的情况，如不符合采购人的工作要求，采购人有权要求响应人更换工作人员及管理人员，如更换后还不能达到实际工作的要求，采购人有权终止响应人的代理资格； （10）响应人出现其他违法、违规、违纪行为的。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第一季度（自合同签订的服务时间起每三个月为一季度）服务完成，且通过甲方考核后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第二季度（自合同签订的服务时间起每三个月为一季度）服务完成，且通过甲方考核后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第三季度（自合同签订的服务时间起每三个月为一季度）服务完成，且通过甲方考核后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第四季度（自合同签订的服务时间起每三个月为一季度）服务完成，且通过甲方考核后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1、乙方在服务期内违反服务合同主要条款，需向甲方支付合同总价款30%的违约金； 2、甲方巡查乙方工作时，应根据设定的岗位进行检查，若发现维护电梯的专职人员1人不在岗，第一次甲方有权提出警告，第二次及以后，甲方有权扣除该人员当天的服务费并从总服务费中扣除500元作为违约金，若发现维护电梯的专职人员3人以上（含3人）不在岗，则甲方扣除该3人3天的服务费并扣除乙方当月服务费的5%作为违约金；若发现维护电梯人员5人以上（含5人）不在岗，则甲方有权解除本协议，乙方应按合同服务费总额的30%支付违约金； 3、乙方违反本合同服务内容的，自行承担乙方自身损失，并赔偿甲方因此遭受的损失，且乙方向甲方赔偿损失时不得因为第三方承担电梯的维保义务而拒绝赔偿。 4、上述违约金支付不足以弥补甲方损失的，乙方应当补足损失。 5、甲方有权对乙方的服务工作进行监督并提出意见或建议，乙方应及时根据甲方要求进行调整或整改，直至符合甲方要求。如达不到甲方的要求，并在甲方通知限期整改后仍不予整改或整改不符合甲方要求的，甲方有权单方面解除合同，乙方应按合同服务费总额的30%支付违约金。 6.其余未尽事宜按《中华人民共和国民法典》中的相关条款执行。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款项结算：电梯运行人员服务费按季度结算一次，甲方每次付款前，乙方应当先提供符合税务要求的增值税发票及经甲方签字确认的当月考核表，甲方根据考核分数考虑在支付服务费时是否进行经济处罚，如不能提供相应内容，甲方有权拒绝付款，并不承担拒绝付款的责任。2.支付方式：银行转账。3.考核表见第三章附表一。4.成交人在领取成交通知书时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供应商需在项目电子化交易系统中按要求上传相应证明文件并进行电子签章。本项与特定资格条件“财务状况报告”为同一审查内容。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供应商需在项目电子化交易系统中按要求填写《投标函》完成承诺并进行电子签章。本项与特定资格条件“控股关系查询”为同一审查内容。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磋商响应文件全部按照磋商文件的要求盖章签字</w:t>
            </w:r>
          </w:p>
        </w:tc>
        <w:tc>
          <w:tcPr>
            <w:tcW w:type="dxa" w:w="1661"/>
          </w:tcPr>
          <w:p>
            <w:pPr>
              <w:pStyle w:val="null3"/>
            </w:pPr>
            <w:r>
              <w:rPr>
                <w:rFonts w:ascii="仿宋_GB2312" w:hAnsi="仿宋_GB2312" w:cs="仿宋_GB2312" w:eastAsia="仿宋_GB2312"/>
              </w:rPr>
              <w:t>响应文件封面 分项报价表.docx 供应商相关承诺书.docx 中小企业声明函 标的清单 报价表 商务条款响应偏离表.docx 响应函 法定代表人授权委托书.docx 服务条款响应偏离表.docx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技术、商务实质性响应</w:t>
            </w:r>
          </w:p>
        </w:tc>
        <w:tc>
          <w:tcPr>
            <w:tcW w:type="dxa" w:w="3322"/>
          </w:tcPr>
          <w:p>
            <w:pPr>
              <w:pStyle w:val="null3"/>
            </w:pPr>
            <w:r>
              <w:rPr>
                <w:rFonts w:ascii="仿宋_GB2312" w:hAnsi="仿宋_GB2312" w:cs="仿宋_GB2312" w:eastAsia="仿宋_GB2312"/>
              </w:rPr>
              <w:t>对磋商文件技术、商务要求是否做出明确响应，对不得偏离的要求是否做了实质性响应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结合项目要求和医院实际，制定项目总体实施方案、服务计划、服务质量保证及措施， ①项目实施方案完整全面、内容具体，针对性、可操作性强，计10分； ②方案内容全面，但措施不具体或条理不清晰，计8分； ③内容全面，但未针对各项内容进行详细描述的，计6分； ④针对以上方案要求，有1项欠缺或无具体针对性内容的计4分； ⑤有2项以上欠缺或方案逻辑混乱、出现常识性错误、存在不适用项目实际情况的情形的，计2分；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项目经理配备</w:t>
            </w:r>
          </w:p>
        </w:tc>
        <w:tc>
          <w:tcPr>
            <w:tcW w:type="dxa" w:w="2492"/>
          </w:tcPr>
          <w:p>
            <w:pPr>
              <w:pStyle w:val="null3"/>
            </w:pPr>
            <w:r>
              <w:rPr>
                <w:rFonts w:ascii="仿宋_GB2312" w:hAnsi="仿宋_GB2312" w:cs="仿宋_GB2312" w:eastAsia="仿宋_GB2312"/>
              </w:rPr>
              <w:t>项目经理 ①拟派项目经理年龄45岁（含） 以下，具有本科及以上学历得2分（取最高学历计分，不重复计分）。赋分依据： 须提供学信网经查证的《教育部学历证书电子注册备案表》，不提供或不满足学历要求不得分。 ②项目经理具有医院系统物业管理层经验6年及以上，同时具备二级及以上人力资源管理师证书得2分。赋分依据：须提供物业管理工作证明文件或被服务单位加盖公章的证明材料，提供人力资源管理师证书，不提供或缺漏项不得分。 备注：除上述赋分依据外，还须同时提供应商为项目经理缴纳的 近六个月内至少连续三个月的社保缴纳证明材料（成立时间至提交投标文件截止时间不足六个月的供应商，可提供成立后任意一个月的社保缴纳证明材料），不提供或缺漏，本项不得分。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项目经理配备.docx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拟投入本项目的人员配备及管理情况(数量、结构、综合素质、管理架构、作业证书复印件等)。 ①内容详细全面、机构设置合理、人员安排完善可行、岗位职责划分明确的，计6分； ②内容全面，但未针对各项内容进行详细描述的，计4分； ③机构设置不合理或岗位划分职责不明确的，计3分； ④针对以上方案要求，有1项欠缺或无具体针对性内容的计2分； ⑤有2项以上欠缺或方案逻辑混乱、出现常识性错误、存在不适用项目实际情况的情形的，计1分； 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服务管理制度与标准、人员日常工作管理计划、自查制度、考核制度、培训制度等。 ①内容全面、制度合理、具体可行，计10分； ②内容全面，但制度不清晰、可行性差的，计8分； ③内容全面，但未针对各项制度进行详细描述的，计6分； ④针对以上方案要求，有1项欠缺或无具体针对性内容的计4分； ⑤有2项以上欠缺或制度逻辑混乱、出现常识性错误、存在不适用项目实际情况的情形的，计2分；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拟投入的本项目的日常工作设备安全保障方案及措施、人员作业安全保障方案及措施等。 ①方案及措施完善详尽，日常工作设备配备合理，保证人员作业安全，可操作性强，计10 分； ②方案内容全面，但措施不具体或条理不清晰，计 8 分； ③方案内容简单，未针对各项内容进行详细描述或日常工作设备配备不合理，计6 分； ④针对以上方案要求，有欠缺或无欠缺仅有粗略框架，无具体针对性内容的计4分； ⑤方案逻辑混乱、出现常识性错误、存在不适用项目实际情况的情形的，计2分；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安全保证措施.docx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针对本项目的各项突发事件应急处理预案分析及处理措施。 ①内容详细全面、措施详细具体、完善可行的，计10分； ②方案内容全面，但预案分析不足或措施不具体的，计8分； ③内容简单，预案分析不完善，计6分； ④整体仅有粗略框架，无具体针对性内容的，计4分； ⑤有欠缺或方案逻辑混乱、出现常识性错误、存在不适用项目实际情况的情形的，计2分；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投标人具有有效期内的质量管理体系认证证书、环境管理体系认证证书、职业健康安全管理体系认证证书、能源管理体系认证证书，每提供1个证书得2分，满分8分。 注：1.证书覆盖范围须含医院物业管理服务，否则不得分； 2.提供有效证书的扫描件，并提供国家认监委网站查询截图作为评审依据，否则不得分。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供应商综合实力.docx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针对本项目能提供有利于采购人的增值服务、合理化建议。 ①内容完善具体、建议合理可行，计10分； ②内容简单或建议不具体，计7分。 ③针对以上有内容欠缺或仅有粗略框架，无具体针对性内容，的计4分； ④内容逻辑混乱、出现常识性错误、存在不适用项目实际情况的情形的，计1分；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针对本项目服务内容提供内容全面、合理、可行的服务承诺；有详细的承诺书及服务保证措施；及时响应、积极配合医院的有关要求。 ①服务承诺内容完善具体、响应及时、合理可行，计7分； ②服务承诺内容简单或措施不具体，计5分。 ③针对以上有内容欠缺或仅有粗略框架，无具体针对性内容、响应不及时，的计3分； ④内容逻辑混乱、出现常识性错误、存在不适用项目实际情况的情形的，计1分； ⑤未提供相关内容的不计分。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2021年1月1日以来(以为合同签订日期为准)投标人承担过医院类业绩的成功案例（服务内容须包含电梯运行服务或导梯或司乘服务），及所提供业绩对应的用户良好评价证明材料。每提供一个得2分，满分10分。 注：1.须提供合同复印件及与所提供业绩对应的用户良好评价证明材料，复印件要求：合同首页、反映实施内容页、双方签字盖章页、反映合同签署日期页。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详见附件：项目经理配备.docx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详见附件：安全保证措施.docx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详见附件：供应商综合实力.docx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详见附件：供应商相关承诺书.docx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