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版本号：ZY2025-ZB-CS106820250712001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信息系统硬件设备延续运维项目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ZY2025-ZB-CS1068</w:t>
      </w:r>
      <w:r>
        <w:br/>
      </w:r>
      <w:r>
        <w:br/>
      </w:r>
      <w:r>
        <w:br/>
      </w:r>
    </w:p>
    <w:p>
      <w:pPr>
        <w:pStyle w:val="null3"/>
        <w:jc w:val="center"/>
        <w:outlineLvl w:val="2"/>
      </w:pPr>
      <w:r>
        <w:rPr>
          <w:rFonts w:ascii="仿宋_GB2312" w:hAnsi="仿宋_GB2312" w:cs="仿宋_GB2312" w:eastAsia="仿宋_GB2312"/>
          <w:sz w:val="28"/>
          <w:b/>
        </w:rPr>
        <w:t>西安市交通运输综合执法支队</w:t>
      </w:r>
    </w:p>
    <w:p>
      <w:pPr>
        <w:pStyle w:val="null3"/>
        <w:jc w:val="center"/>
        <w:outlineLvl w:val="2"/>
      </w:pPr>
      <w:r>
        <w:rPr>
          <w:rFonts w:ascii="仿宋_GB2312" w:hAnsi="仿宋_GB2312" w:cs="仿宋_GB2312" w:eastAsia="仿宋_GB2312"/>
          <w:sz w:val="28"/>
          <w:b/>
        </w:rPr>
        <w:t>陕西正翼项目管理咨询有限公司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陕西正翼项目管理咨询有限公司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西安市交通运输综合执法支队</w:t>
      </w:r>
      <w:r>
        <w:rPr>
          <w:rFonts w:ascii="仿宋_GB2312" w:hAnsi="仿宋_GB2312" w:cs="仿宋_GB2312" w:eastAsia="仿宋_GB2312"/>
        </w:rPr>
        <w:t>委托，拟对</w:t>
      </w:r>
      <w:r>
        <w:rPr>
          <w:rFonts w:ascii="仿宋_GB2312" w:hAnsi="仿宋_GB2312" w:cs="仿宋_GB2312" w:eastAsia="仿宋_GB2312"/>
        </w:rPr>
        <w:t>信息系统硬件设备延续运维项目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ZY2025-ZB-CS1068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信息系统硬件设备延续运维项目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2025年西安市交通运输综合执法支队信息系统硬件设备延续运维项目。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采购包1（116000）：属于专门面向中小企业采购。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2、财务状况报告：提供2024年度经审计的完整财务报告或磋商日期前三个月内其基本存款账户开户银行出具的资信证明。（如提供资信证明，须同时提供基本存款账户开户许可证或基本账户信息表）；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3、税收缴纳证明：提供2025年1月至今已缴纳的至少一个月的纳税证明，依法免税的单位应提供相关证明材料</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5、书面声明：具备履行合同所必须的设备和专业技术能力的书面声明</w:t>
      </w:r>
    </w:p>
    <w:p>
      <w:pPr>
        <w:pStyle w:val="null3"/>
      </w:pPr>
      <w:r>
        <w:rPr>
          <w:rFonts w:ascii="仿宋_GB2312" w:hAnsi="仿宋_GB2312" w:cs="仿宋_GB2312" w:eastAsia="仿宋_GB2312"/>
        </w:rPr>
        <w:t>6、无重大违法记录：参加政府采购活动前三年内，在经营活动中没有重大违法记录的书面声明</w:t>
      </w:r>
    </w:p>
    <w:p>
      <w:pPr>
        <w:pStyle w:val="null3"/>
      </w:pPr>
      <w:r>
        <w:rPr>
          <w:rFonts w:ascii="仿宋_GB2312" w:hAnsi="仿宋_GB2312" w:cs="仿宋_GB2312" w:eastAsia="仿宋_GB2312"/>
        </w:rPr>
        <w:t>7、信用记录：供应商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授权委托书：法定代表人授权委托书、被授权人身份证(法定代表人参加开标时,只需提供法定代表人身份证；被授权人参加开标时，须提供开标前三个月的基本养老保险参保缴费证明，该证明须体现“现缴费单位名称”及“验证二维码”，开标现场进行验证</w:t>
      </w:r>
    </w:p>
    <w:p>
      <w:pPr>
        <w:pStyle w:val="null3"/>
      </w:pPr>
      <w:r>
        <w:rPr>
          <w:rFonts w:ascii="仿宋_GB2312" w:hAnsi="仿宋_GB2312" w:cs="仿宋_GB2312" w:eastAsia="仿宋_GB2312"/>
        </w:rPr>
        <w:t>9、本采购包专门面向中小企业采购：参与的供应商（联合体）为符合政策要求的中小企业，须提供中小企业声明函或残疾人福利性单位声明函或监狱企业的证明文件。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西安市交通运输综合执法支队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西安市雁塔区含光南路218号交通信息大厦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029-89193506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陕西正翼项目管理咨询有限公司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陕西省西安市未央区西安经济技术开发区凤城一路6号利君V时代B座901、902室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卫现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029-86210100转806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采购包1：116,000.00元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代理服务费收费标准：由成交供应商支付代理服务费，代理服务费定额收取人民币伍仟元整（¥ 5000.00元）。 收款账户如下： 收款单位：陕西正翼项目管理咨询有限公司西安分公司 ；开户银行：中国光大银行股份有限公司西安经济技术开发区支行；银行账号：78680188000360910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西安市交通运输综合执法支队</w:t>
      </w:r>
      <w:r>
        <w:rPr>
          <w:rFonts w:ascii="仿宋_GB2312" w:hAnsi="仿宋_GB2312" w:cs="仿宋_GB2312" w:eastAsia="仿宋_GB2312"/>
        </w:rPr>
        <w:t>和</w:t>
      </w:r>
      <w:r>
        <w:rPr>
          <w:rFonts w:ascii="仿宋_GB2312" w:hAnsi="仿宋_GB2312" w:cs="仿宋_GB2312" w:eastAsia="仿宋_GB2312"/>
        </w:rPr>
        <w:t>陕西正翼项目管理咨询有限公司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西安市交通运输综合执法支队</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陕西正翼项目管理咨询有限公司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西安市交通运输综合执法支队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陕西正翼项目管理咨询有限公司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以采购人要求为准。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联系人：卫现</w:t>
      </w:r>
    </w:p>
    <w:p>
      <w:pPr>
        <w:pStyle w:val="null3"/>
      </w:pPr>
      <w:r>
        <w:rPr>
          <w:rFonts w:ascii="仿宋_GB2312" w:hAnsi="仿宋_GB2312" w:cs="仿宋_GB2312" w:eastAsia="仿宋_GB2312"/>
        </w:rPr>
        <w:t>联系电话：029-86210100转806</w:t>
      </w:r>
    </w:p>
    <w:p>
      <w:pPr>
        <w:pStyle w:val="null3"/>
      </w:pPr>
      <w:r>
        <w:rPr>
          <w:rFonts w:ascii="仿宋_GB2312" w:hAnsi="仿宋_GB2312" w:cs="仿宋_GB2312" w:eastAsia="仿宋_GB2312"/>
        </w:rPr>
        <w:t>地址：陕西省西安市未央区西安经济技术开发区凤城一路6号利君V时代B座901、902室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2025年西安市交通运输综合执法支队信息系统硬件设备延续运维项目。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116,000.00</w:t>
      </w:r>
    </w:p>
    <w:p>
      <w:pPr>
        <w:pStyle w:val="null3"/>
      </w:pPr>
      <w:r>
        <w:rPr>
          <w:rFonts w:ascii="仿宋_GB2312" w:hAnsi="仿宋_GB2312" w:cs="仿宋_GB2312" w:eastAsia="仿宋_GB2312"/>
        </w:rPr>
        <w:t>采购包最高限价（元）: 116,000.00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硬件设备延续运维项目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116,000.00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标的名称：硬件设备延续运维项目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0"/>
            </w:pPr>
            <w:r>
              <w:rPr>
                <w:rFonts w:ascii="仿宋_GB2312" w:hAnsi="仿宋_GB2312" w:cs="仿宋_GB2312" w:eastAsia="仿宋_GB2312"/>
                <w:sz w:val="20"/>
                <w:b/>
                <w:color w:val="000000"/>
              </w:rPr>
              <w:t>一、项目概况</w:t>
            </w:r>
          </w:p>
          <w:p>
            <w:pPr>
              <w:pStyle w:val="null3"/>
              <w:ind w:firstLine="400"/>
              <w:jc w:val="both"/>
            </w:pPr>
            <w:r>
              <w:rPr>
                <w:rFonts w:ascii="仿宋_GB2312" w:hAnsi="仿宋_GB2312" w:cs="仿宋_GB2312" w:eastAsia="仿宋_GB2312"/>
                <w:sz w:val="20"/>
                <w:color w:val="000000"/>
              </w:rPr>
              <w:t>西安市交通运输综合执法支队信息系统硬件设备延续运维项目主要是对西安市交通运输综合执法支队及相关大队局域网、交通专网、专线、服务器、交换机、路由器、防火墙等机房内部网络设备运行维护。</w:t>
            </w:r>
          </w:p>
          <w:p>
            <w:pPr>
              <w:pStyle w:val="null3"/>
              <w:ind w:left="570"/>
              <w:jc w:val="both"/>
              <w:outlineLvl w:val="1"/>
            </w:pPr>
            <w:r>
              <w:rPr>
                <w:rFonts w:ascii="仿宋_GB2312" w:hAnsi="仿宋_GB2312" w:cs="仿宋_GB2312" w:eastAsia="仿宋_GB2312"/>
                <w:sz w:val="20"/>
                <w:b/>
                <w:color w:val="000000"/>
              </w:rPr>
              <w:t>（一）项目</w:t>
            </w:r>
            <w:r>
              <w:rPr>
                <w:rFonts w:ascii="仿宋_GB2312" w:hAnsi="仿宋_GB2312" w:cs="仿宋_GB2312" w:eastAsia="仿宋_GB2312"/>
                <w:sz w:val="20"/>
                <w:b/>
                <w:color w:val="000000"/>
              </w:rPr>
              <w:t>背景</w:t>
            </w:r>
          </w:p>
          <w:p>
            <w:pPr>
              <w:pStyle w:val="null3"/>
              <w:ind w:firstLine="400"/>
              <w:jc w:val="both"/>
            </w:pPr>
            <w:r>
              <w:rPr>
                <w:rFonts w:ascii="仿宋_GB2312" w:hAnsi="仿宋_GB2312" w:cs="仿宋_GB2312" w:eastAsia="仿宋_GB2312"/>
                <w:sz w:val="20"/>
                <w:color w:val="000000"/>
              </w:rPr>
              <w:t>支队业务系统均已上云，目前支队机房内设备用于连接城六区派出大队及远郊区县的业务专线、交通运输局及支队公文传输系统政务专线、支队办公所用的网络设备及互联网专线。</w:t>
            </w:r>
          </w:p>
          <w:p>
            <w:pPr>
              <w:pStyle w:val="null3"/>
              <w:ind w:firstLine="400"/>
              <w:jc w:val="both"/>
            </w:pPr>
            <w:r>
              <w:rPr>
                <w:rFonts w:ascii="仿宋_GB2312" w:hAnsi="仿宋_GB2312" w:cs="仿宋_GB2312" w:eastAsia="仿宋_GB2312"/>
                <w:sz w:val="20"/>
                <w:color w:val="000000"/>
              </w:rPr>
              <w:t>成交方需定期维护保养以延长设备使用寿命，避免因设备故障导致的网络中断或性能下降；通过预防性维护和及时修复硬件问题减少故障发生的概率和意外停机时间</w:t>
            </w:r>
            <w:r>
              <w:rPr>
                <w:rFonts w:ascii="仿宋_GB2312" w:hAnsi="仿宋_GB2312" w:cs="仿宋_GB2312" w:eastAsia="仿宋_GB2312"/>
                <w:sz w:val="20"/>
                <w:color w:val="000000"/>
              </w:rPr>
              <w:t>；及时处理设备故障，确保设备的稳定性和可靠性；对设备性能进行分析和优化，提升整体运行效率。</w:t>
            </w:r>
          </w:p>
          <w:p>
            <w:pPr>
              <w:pStyle w:val="null3"/>
              <w:ind w:left="570"/>
              <w:jc w:val="both"/>
              <w:outlineLvl w:val="1"/>
            </w:pPr>
            <w:r>
              <w:rPr>
                <w:rFonts w:ascii="仿宋_GB2312" w:hAnsi="仿宋_GB2312" w:cs="仿宋_GB2312" w:eastAsia="仿宋_GB2312"/>
                <w:sz w:val="20"/>
                <w:b/>
                <w:color w:val="000000"/>
              </w:rPr>
              <w:t>（二）运维服务范围</w:t>
            </w:r>
          </w:p>
          <w:p>
            <w:pPr>
              <w:pStyle w:val="null3"/>
              <w:ind w:firstLine="400"/>
              <w:jc w:val="both"/>
            </w:pPr>
            <w:r>
              <w:rPr>
                <w:rFonts w:ascii="仿宋_GB2312" w:hAnsi="仿宋_GB2312" w:cs="仿宋_GB2312" w:eastAsia="仿宋_GB2312"/>
                <w:sz w:val="20"/>
                <w:color w:val="000000"/>
              </w:rPr>
              <w:t>包括西安市交通运输综合执法支队及相关大队使用的交通专网，专线，服务器，交换机，路由器，防火墙等相关机房网络设备。</w:t>
            </w:r>
          </w:p>
          <w:p>
            <w:pPr>
              <w:pStyle w:val="null3"/>
              <w:ind w:firstLine="400"/>
              <w:jc w:val="both"/>
            </w:pPr>
            <w:r>
              <w:rPr>
                <w:rFonts w:ascii="仿宋_GB2312" w:hAnsi="仿宋_GB2312" w:cs="仿宋_GB2312" w:eastAsia="仿宋_GB2312"/>
                <w:sz w:val="20"/>
                <w:color w:val="000000"/>
              </w:rPr>
              <w:t>具体详见下表：</w:t>
            </w:r>
          </w:p>
          <w:tbl>
            <w:tblPr>
              <w:tblInd w:type="dxa" w:w="120"/>
              <w:tblBorders>
                <w:top w:val="none" w:color="000000" w:sz="4"/>
                <w:left w:val="none" w:color="000000" w:sz="4"/>
                <w:bottom w:val="none" w:color="000000" w:sz="4"/>
                <w:right w:val="none" w:color="000000" w:sz="4"/>
                <w:insideH w:val="none"/>
                <w:insideV w:val="none"/>
              </w:tblBorders>
            </w:tblPr>
            <w:tblGrid>
              <w:gridCol w:w="559"/>
              <w:gridCol w:w="755"/>
              <w:gridCol w:w="671"/>
              <w:gridCol w:w="397"/>
            </w:tblGrid>
            <w:tr>
              <w:tc>
                <w:tcPr>
                  <w:tcW w:type="dxa" w:w="5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b/>
                      <w:color w:val="000000"/>
                    </w:rPr>
                    <w:t>物</w:t>
                  </w:r>
                  <w:r>
                    <w:rPr>
                      <w:rFonts w:ascii="仿宋_GB2312" w:hAnsi="仿宋_GB2312" w:cs="仿宋_GB2312" w:eastAsia="仿宋_GB2312"/>
                      <w:sz w:val="20"/>
                      <w:b/>
                      <w:color w:val="000000"/>
                    </w:rPr>
                    <w:t>理</w:t>
                  </w:r>
                  <w:r>
                    <w:rPr>
                      <w:rFonts w:ascii="仿宋_GB2312" w:hAnsi="仿宋_GB2312" w:cs="仿宋_GB2312" w:eastAsia="仿宋_GB2312"/>
                      <w:sz w:val="20"/>
                      <w:b/>
                      <w:color w:val="000000"/>
                    </w:rPr>
                    <w:t>位</w:t>
                  </w:r>
                  <w:r>
                    <w:rPr>
                      <w:rFonts w:ascii="仿宋_GB2312" w:hAnsi="仿宋_GB2312" w:cs="仿宋_GB2312" w:eastAsia="仿宋_GB2312"/>
                      <w:sz w:val="20"/>
                      <w:b/>
                      <w:color w:val="000000"/>
                    </w:rPr>
                    <w:t>置</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b/>
                      <w:color w:val="000000"/>
                    </w:rPr>
                    <w:t>设备</w:t>
                  </w:r>
                  <w:r>
                    <w:rPr>
                      <w:rFonts w:ascii="仿宋_GB2312" w:hAnsi="仿宋_GB2312" w:cs="仿宋_GB2312" w:eastAsia="仿宋_GB2312"/>
                      <w:sz w:val="20"/>
                      <w:b/>
                      <w:color w:val="000000"/>
                    </w:rPr>
                    <w:t>名称</w:t>
                  </w:r>
                  <w:r>
                    <w:rPr>
                      <w:rFonts w:ascii="仿宋_GB2312" w:hAnsi="仿宋_GB2312" w:cs="仿宋_GB2312" w:eastAsia="仿宋_GB2312"/>
                      <w:sz w:val="20"/>
                      <w:b/>
                      <w:color w:val="000000"/>
                    </w:rPr>
                    <w:t>(用</w:t>
                  </w:r>
                  <w:r>
                    <w:rPr>
                      <w:rFonts w:ascii="仿宋_GB2312" w:hAnsi="仿宋_GB2312" w:cs="仿宋_GB2312" w:eastAsia="仿宋_GB2312"/>
                      <w:sz w:val="20"/>
                      <w:b/>
                      <w:color w:val="000000"/>
                    </w:rPr>
                    <w:t>途</w:t>
                  </w:r>
                  <w:r>
                    <w:rPr>
                      <w:rFonts w:ascii="仿宋_GB2312" w:hAnsi="仿宋_GB2312" w:cs="仿宋_GB2312" w:eastAsia="仿宋_GB2312"/>
                      <w:sz w:val="20"/>
                      <w:b/>
                      <w:color w:val="000000"/>
                    </w:rPr>
                    <w:t>)</w:t>
                  </w:r>
                </w:p>
              </w:tc>
              <w:tc>
                <w:tcPr>
                  <w:tcW w:type="dxa" w:w="6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b/>
                      <w:color w:val="000000"/>
                    </w:rPr>
                    <w:t>品牌型号</w:t>
                  </w:r>
                </w:p>
              </w:tc>
              <w:tc>
                <w:tcPr>
                  <w:tcW w:type="dxa" w:w="3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b/>
                      <w:color w:val="000000"/>
                    </w:rPr>
                    <w:t>数量</w:t>
                  </w:r>
                </w:p>
              </w:tc>
            </w:tr>
            <w:tr>
              <w:tc>
                <w:tcPr>
                  <w:tcW w:type="dxa" w:w="5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支队大楼机房</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上网行为管理</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深</w:t>
                  </w:r>
                  <w:r>
                    <w:rPr>
                      <w:rFonts w:ascii="仿宋_GB2312" w:hAnsi="仿宋_GB2312" w:cs="仿宋_GB2312" w:eastAsia="仿宋_GB2312"/>
                      <w:sz w:val="20"/>
                      <w:color w:val="000000"/>
                    </w:rPr>
                    <w:t>信服</w:t>
                  </w:r>
                  <w:r>
                    <w:rPr>
                      <w:rFonts w:ascii="仿宋_GB2312" w:hAnsi="仿宋_GB2312" w:cs="仿宋_GB2312" w:eastAsia="仿宋_GB2312"/>
                      <w:sz w:val="20"/>
                      <w:color w:val="000000"/>
                    </w:rPr>
                    <w:t>AC1000</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外网防火墙</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绿盟</w:t>
                  </w:r>
                  <w:r>
                    <w:rPr>
                      <w:rFonts w:ascii="仿宋_GB2312" w:hAnsi="仿宋_GB2312" w:cs="仿宋_GB2312" w:eastAsia="仿宋_GB2312"/>
                      <w:sz w:val="20"/>
                      <w:color w:val="000000"/>
                    </w:rPr>
                    <w:t>NFNX3-HDB1211</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外网核心交换机</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H3C S5700</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内网防火墙</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绿</w:t>
                  </w:r>
                  <w:r>
                    <w:rPr>
                      <w:rFonts w:ascii="仿宋_GB2312" w:hAnsi="仿宋_GB2312" w:cs="仿宋_GB2312" w:eastAsia="仿宋_GB2312"/>
                      <w:sz w:val="20"/>
                      <w:color w:val="000000"/>
                    </w:rPr>
                    <w:t>盟</w:t>
                  </w:r>
                  <w:r>
                    <w:rPr>
                      <w:rFonts w:ascii="仿宋_GB2312" w:hAnsi="仿宋_GB2312" w:cs="仿宋_GB2312" w:eastAsia="仿宋_GB2312"/>
                      <w:sz w:val="20"/>
                      <w:color w:val="000000"/>
                    </w:rPr>
                    <w:t>NFNX3-HDB1211</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7楼外网接入交换机</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H3C5120</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7楼外网接入交换机</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华</w:t>
                  </w:r>
                  <w:r>
                    <w:rPr>
                      <w:rFonts w:ascii="仿宋_GB2312" w:hAnsi="仿宋_GB2312" w:cs="仿宋_GB2312" w:eastAsia="仿宋_GB2312"/>
                      <w:sz w:val="20"/>
                      <w:color w:val="000000"/>
                    </w:rPr>
                    <w:t>为</w:t>
                  </w:r>
                  <w:r>
                    <w:rPr>
                      <w:rFonts w:ascii="仿宋_GB2312" w:hAnsi="仿宋_GB2312" w:cs="仿宋_GB2312" w:eastAsia="仿宋_GB2312"/>
                      <w:sz w:val="20"/>
                      <w:color w:val="000000"/>
                    </w:rPr>
                    <w:t>5700</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7楼内网接入交换机</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Fast</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12楼外网接入交换机</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H3C s5000</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12楼外网接入交换机</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D-LINK 1048</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12楼外网接入交换机</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H3C 1016</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13楼外网接入交换机</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H3C 1024R</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13楼外网接入交换机</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华</w:t>
                  </w:r>
                  <w:r>
                    <w:rPr>
                      <w:rFonts w:ascii="仿宋_GB2312" w:hAnsi="仿宋_GB2312" w:cs="仿宋_GB2312" w:eastAsia="仿宋_GB2312"/>
                      <w:sz w:val="20"/>
                      <w:color w:val="000000"/>
                    </w:rPr>
                    <w:t>为</w:t>
                  </w:r>
                  <w:r>
                    <w:rPr>
                      <w:rFonts w:ascii="仿宋_GB2312" w:hAnsi="仿宋_GB2312" w:cs="仿宋_GB2312" w:eastAsia="仿宋_GB2312"/>
                      <w:sz w:val="20"/>
                      <w:color w:val="000000"/>
                    </w:rPr>
                    <w:t>5700</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13楼内网接入交换机</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H3C 1024R</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14楼外网接入路由器</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DL-7100路由器</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14楼内网接入交换机</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华</w:t>
                  </w:r>
                  <w:r>
                    <w:rPr>
                      <w:rFonts w:ascii="仿宋_GB2312" w:hAnsi="仿宋_GB2312" w:cs="仿宋_GB2312" w:eastAsia="仿宋_GB2312"/>
                      <w:sz w:val="20"/>
                      <w:color w:val="000000"/>
                    </w:rPr>
                    <w:t>为</w:t>
                  </w:r>
                  <w:r>
                    <w:rPr>
                      <w:rFonts w:ascii="仿宋_GB2312" w:hAnsi="仿宋_GB2312" w:cs="仿宋_GB2312" w:eastAsia="仿宋_GB2312"/>
                      <w:sz w:val="20"/>
                      <w:color w:val="000000"/>
                    </w:rPr>
                    <w:t>1700</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14楼内网接入交换机</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TP-LINK 5428</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监控网络设备</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H3C外网路由器</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H3C MSR30-20</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绿盟</w:t>
                  </w:r>
                  <w:r>
                    <w:rPr>
                      <w:rFonts w:ascii="仿宋_GB2312" w:hAnsi="仿宋_GB2312" w:cs="仿宋_GB2312" w:eastAsia="仿宋_GB2312"/>
                      <w:sz w:val="20"/>
                      <w:color w:val="000000"/>
                    </w:rPr>
                    <w:t>内网日</w:t>
                  </w:r>
                  <w:r>
                    <w:rPr>
                      <w:rFonts w:ascii="仿宋_GB2312" w:hAnsi="仿宋_GB2312" w:cs="仿宋_GB2312" w:eastAsia="仿宋_GB2312"/>
                      <w:sz w:val="20"/>
                      <w:color w:val="000000"/>
                    </w:rPr>
                    <w:t>志审</w:t>
                  </w:r>
                  <w:r>
                    <w:rPr>
                      <w:rFonts w:ascii="仿宋_GB2312" w:hAnsi="仿宋_GB2312" w:cs="仿宋_GB2312" w:eastAsia="仿宋_GB2312"/>
                      <w:sz w:val="20"/>
                      <w:color w:val="000000"/>
                    </w:rPr>
                    <w:t>计</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绿盟</w:t>
                  </w:r>
                  <w:r>
                    <w:rPr>
                      <w:rFonts w:ascii="仿宋_GB2312" w:hAnsi="仿宋_GB2312" w:cs="仿宋_GB2312" w:eastAsia="仿宋_GB2312"/>
                      <w:sz w:val="20"/>
                      <w:color w:val="000000"/>
                    </w:rPr>
                    <w:t>LAS NX3</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H3C专网出</w:t>
                  </w:r>
                  <w:r>
                    <w:rPr>
                      <w:rFonts w:ascii="仿宋_GB2312" w:hAnsi="仿宋_GB2312" w:cs="仿宋_GB2312" w:eastAsia="仿宋_GB2312"/>
                      <w:sz w:val="20"/>
                      <w:color w:val="000000"/>
                    </w:rPr>
                    <w:t>口</w:t>
                  </w:r>
                  <w:r>
                    <w:rPr>
                      <w:rFonts w:ascii="仿宋_GB2312" w:hAnsi="仿宋_GB2312" w:cs="仿宋_GB2312" w:eastAsia="仿宋_GB2312"/>
                      <w:sz w:val="20"/>
                      <w:color w:val="000000"/>
                    </w:rPr>
                    <w:t>路由器</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H3C MSR3640</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7F、12F、13F外网</w:t>
                  </w:r>
                  <w:r>
                    <w:rPr>
                      <w:rFonts w:ascii="仿宋_GB2312" w:hAnsi="仿宋_GB2312" w:cs="仿宋_GB2312" w:eastAsia="仿宋_GB2312"/>
                      <w:sz w:val="19"/>
                    </w:rPr>
                    <w:t xml:space="preserve">   </w:t>
                  </w:r>
                  <w:r>
                    <w:rPr>
                      <w:rFonts w:ascii="仿宋_GB2312" w:hAnsi="仿宋_GB2312" w:cs="仿宋_GB2312" w:eastAsia="仿宋_GB2312"/>
                      <w:sz w:val="20"/>
                      <w:color w:val="000000"/>
                    </w:rPr>
                    <w:t>光纤</w:t>
                  </w:r>
                  <w:r>
                    <w:rPr>
                      <w:rFonts w:ascii="仿宋_GB2312" w:hAnsi="仿宋_GB2312" w:cs="仿宋_GB2312" w:eastAsia="仿宋_GB2312"/>
                      <w:sz w:val="20"/>
                      <w:color w:val="000000"/>
                    </w:rPr>
                    <w:t>收发器</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netlink</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公交示范工</w:t>
                  </w:r>
                  <w:r>
                    <w:rPr>
                      <w:rFonts w:ascii="仿宋_GB2312" w:hAnsi="仿宋_GB2312" w:cs="仿宋_GB2312" w:eastAsia="仿宋_GB2312"/>
                      <w:sz w:val="20"/>
                      <w:color w:val="000000"/>
                    </w:rPr>
                    <w:t>程</w:t>
                  </w:r>
                  <w:r>
                    <w:rPr>
                      <w:rFonts w:ascii="仿宋_GB2312" w:hAnsi="仿宋_GB2312" w:cs="仿宋_GB2312" w:eastAsia="仿宋_GB2312"/>
                      <w:sz w:val="20"/>
                      <w:color w:val="000000"/>
                    </w:rPr>
                    <w:t>GIS</w:t>
                  </w:r>
                  <w:r>
                    <w:rPr>
                      <w:rFonts w:ascii="仿宋_GB2312" w:hAnsi="仿宋_GB2312" w:cs="仿宋_GB2312" w:eastAsia="仿宋_GB2312"/>
                      <w:sz w:val="19"/>
                    </w:rPr>
                    <w:t xml:space="preserve">  </w:t>
                  </w:r>
                  <w:r>
                    <w:rPr>
                      <w:rFonts w:ascii="仿宋_GB2312" w:hAnsi="仿宋_GB2312" w:cs="仿宋_GB2312" w:eastAsia="仿宋_GB2312"/>
                      <w:sz w:val="20"/>
                      <w:color w:val="000000"/>
                    </w:rPr>
                    <w:t>地图</w:t>
                  </w:r>
                  <w:r>
                    <w:rPr>
                      <w:rFonts w:ascii="仿宋_GB2312" w:hAnsi="仿宋_GB2312" w:cs="仿宋_GB2312" w:eastAsia="仿宋_GB2312"/>
                      <w:sz w:val="20"/>
                      <w:color w:val="000000"/>
                    </w:rPr>
                    <w:t>服务器</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曙光</w:t>
                  </w:r>
                  <w:r>
                    <w:rPr>
                      <w:rFonts w:ascii="仿宋_GB2312" w:hAnsi="仿宋_GB2312" w:cs="仿宋_GB2312" w:eastAsia="仿宋_GB2312"/>
                      <w:sz w:val="20"/>
                      <w:color w:val="000000"/>
                    </w:rPr>
                    <w:t>I840-G21</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公交示范工</w:t>
                  </w:r>
                  <w:r>
                    <w:rPr>
                      <w:rFonts w:ascii="仿宋_GB2312" w:hAnsi="仿宋_GB2312" w:cs="仿宋_GB2312" w:eastAsia="仿宋_GB2312"/>
                      <w:sz w:val="20"/>
                      <w:color w:val="000000"/>
                    </w:rPr>
                    <w:t>程</w:t>
                  </w:r>
                  <w:r>
                    <w:rPr>
                      <w:rFonts w:ascii="仿宋_GB2312" w:hAnsi="仿宋_GB2312" w:cs="仿宋_GB2312" w:eastAsia="仿宋_GB2312"/>
                      <w:sz w:val="20"/>
                      <w:color w:val="000000"/>
                    </w:rPr>
                    <w:t>web同</w:t>
                  </w:r>
                  <w:r>
                    <w:rPr>
                      <w:rFonts w:ascii="仿宋_GB2312" w:hAnsi="仿宋_GB2312" w:cs="仿宋_GB2312" w:eastAsia="仿宋_GB2312"/>
                      <w:sz w:val="20"/>
                      <w:color w:val="000000"/>
                    </w:rPr>
                    <w:t>步</w:t>
                  </w:r>
                  <w:r>
                    <w:rPr>
                      <w:rFonts w:ascii="仿宋_GB2312" w:hAnsi="仿宋_GB2312" w:cs="仿宋_GB2312" w:eastAsia="仿宋_GB2312"/>
                      <w:sz w:val="20"/>
                      <w:color w:val="000000"/>
                    </w:rPr>
                    <w:t>服务器</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曙光</w:t>
                  </w:r>
                  <w:r>
                    <w:rPr>
                      <w:rFonts w:ascii="仿宋_GB2312" w:hAnsi="仿宋_GB2312" w:cs="仿宋_GB2312" w:eastAsia="仿宋_GB2312"/>
                      <w:sz w:val="20"/>
                      <w:color w:val="000000"/>
                    </w:rPr>
                    <w:t>I840-G21</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公交示范工</w:t>
                  </w:r>
                  <w:r>
                    <w:rPr>
                      <w:rFonts w:ascii="仿宋_GB2312" w:hAnsi="仿宋_GB2312" w:cs="仿宋_GB2312" w:eastAsia="仿宋_GB2312"/>
                      <w:sz w:val="20"/>
                      <w:color w:val="000000"/>
                    </w:rPr>
                    <w:t>程</w:t>
                  </w:r>
                  <w:r>
                    <w:rPr>
                      <w:rFonts w:ascii="仿宋_GB2312" w:hAnsi="仿宋_GB2312" w:cs="仿宋_GB2312" w:eastAsia="仿宋_GB2312"/>
                      <w:sz w:val="20"/>
                      <w:color w:val="000000"/>
                    </w:rPr>
                    <w:t>SQL</w:t>
                  </w:r>
                  <w:r>
                    <w:rPr>
                      <w:rFonts w:ascii="仿宋_GB2312" w:hAnsi="仿宋_GB2312" w:cs="仿宋_GB2312" w:eastAsia="仿宋_GB2312"/>
                      <w:sz w:val="19"/>
                    </w:rPr>
                    <w:t xml:space="preserve">  </w:t>
                  </w:r>
                  <w:r>
                    <w:rPr>
                      <w:rFonts w:ascii="仿宋_GB2312" w:hAnsi="仿宋_GB2312" w:cs="仿宋_GB2312" w:eastAsia="仿宋_GB2312"/>
                      <w:sz w:val="20"/>
                      <w:color w:val="000000"/>
                    </w:rPr>
                    <w:t>数据</w:t>
                  </w:r>
                  <w:r>
                    <w:rPr>
                      <w:rFonts w:ascii="仿宋_GB2312" w:hAnsi="仿宋_GB2312" w:cs="仿宋_GB2312" w:eastAsia="仿宋_GB2312"/>
                      <w:sz w:val="20"/>
                      <w:color w:val="000000"/>
                    </w:rPr>
                    <w:t>库</w:t>
                  </w:r>
                  <w:r>
                    <w:rPr>
                      <w:rFonts w:ascii="仿宋_GB2312" w:hAnsi="仿宋_GB2312" w:cs="仿宋_GB2312" w:eastAsia="仿宋_GB2312"/>
                      <w:sz w:val="20"/>
                      <w:color w:val="000000"/>
                    </w:rPr>
                    <w:t>服务器</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曙光</w:t>
                  </w:r>
                  <w:r>
                    <w:rPr>
                      <w:rFonts w:ascii="仿宋_GB2312" w:hAnsi="仿宋_GB2312" w:cs="仿宋_GB2312" w:eastAsia="仿宋_GB2312"/>
                      <w:sz w:val="20"/>
                      <w:color w:val="000000"/>
                    </w:rPr>
                    <w:t>I840-G21</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态</w:t>
                  </w:r>
                  <w:r>
                    <w:rPr>
                      <w:rFonts w:ascii="仿宋_GB2312" w:hAnsi="仿宋_GB2312" w:cs="仿宋_GB2312" w:eastAsia="仿宋_GB2312"/>
                      <w:sz w:val="20"/>
                      <w:color w:val="000000"/>
                    </w:rPr>
                    <w:t>势感</w:t>
                  </w:r>
                  <w:r>
                    <w:rPr>
                      <w:rFonts w:ascii="仿宋_GB2312" w:hAnsi="仿宋_GB2312" w:cs="仿宋_GB2312" w:eastAsia="仿宋_GB2312"/>
                      <w:sz w:val="20"/>
                      <w:color w:val="000000"/>
                    </w:rPr>
                    <w:t>知设备</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绿盟</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日</w:t>
                  </w:r>
                  <w:r>
                    <w:rPr>
                      <w:rFonts w:ascii="仿宋_GB2312" w:hAnsi="仿宋_GB2312" w:cs="仿宋_GB2312" w:eastAsia="仿宋_GB2312"/>
                      <w:sz w:val="20"/>
                      <w:color w:val="000000"/>
                    </w:rPr>
                    <w:t>志审</w:t>
                  </w:r>
                  <w:r>
                    <w:rPr>
                      <w:rFonts w:ascii="仿宋_GB2312" w:hAnsi="仿宋_GB2312" w:cs="仿宋_GB2312" w:eastAsia="仿宋_GB2312"/>
                      <w:sz w:val="20"/>
                      <w:color w:val="000000"/>
                    </w:rPr>
                    <w:t>计设备</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绿盟</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异常</w:t>
                  </w:r>
                  <w:r>
                    <w:rPr>
                      <w:rFonts w:ascii="仿宋_GB2312" w:hAnsi="仿宋_GB2312" w:cs="仿宋_GB2312" w:eastAsia="仿宋_GB2312"/>
                      <w:sz w:val="20"/>
                      <w:color w:val="000000"/>
                    </w:rPr>
                    <w:t>流量</w:t>
                  </w:r>
                  <w:r>
                    <w:rPr>
                      <w:rFonts w:ascii="仿宋_GB2312" w:hAnsi="仿宋_GB2312" w:cs="仿宋_GB2312" w:eastAsia="仿宋_GB2312"/>
                      <w:sz w:val="20"/>
                      <w:color w:val="000000"/>
                    </w:rPr>
                    <w:t>监</w:t>
                  </w:r>
                  <w:r>
                    <w:rPr>
                      <w:rFonts w:ascii="仿宋_GB2312" w:hAnsi="仿宋_GB2312" w:cs="仿宋_GB2312" w:eastAsia="仿宋_GB2312"/>
                      <w:sz w:val="20"/>
                      <w:color w:val="000000"/>
                    </w:rPr>
                    <w:t>测</w:t>
                  </w:r>
                  <w:r>
                    <w:rPr>
                      <w:rFonts w:ascii="仿宋_GB2312" w:hAnsi="仿宋_GB2312" w:cs="仿宋_GB2312" w:eastAsia="仿宋_GB2312"/>
                      <w:sz w:val="20"/>
                      <w:color w:val="000000"/>
                    </w:rPr>
                    <w:t>设备</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绿盟</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无</w:t>
                  </w:r>
                  <w:r>
                    <w:rPr>
                      <w:rFonts w:ascii="仿宋_GB2312" w:hAnsi="仿宋_GB2312" w:cs="仿宋_GB2312" w:eastAsia="仿宋_GB2312"/>
                      <w:sz w:val="20"/>
                      <w:color w:val="000000"/>
                    </w:rPr>
                    <w:t>线路由器</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55</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外网</w:t>
                  </w:r>
                  <w:r>
                    <w:rPr>
                      <w:rFonts w:ascii="仿宋_GB2312" w:hAnsi="仿宋_GB2312" w:cs="仿宋_GB2312" w:eastAsia="仿宋_GB2312"/>
                      <w:sz w:val="20"/>
                      <w:color w:val="000000"/>
                    </w:rPr>
                    <w:t>EDR服务器</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IBM 3850X5</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专网</w:t>
                  </w:r>
                  <w:r>
                    <w:rPr>
                      <w:rFonts w:ascii="仿宋_GB2312" w:hAnsi="仿宋_GB2312" w:cs="仿宋_GB2312" w:eastAsia="仿宋_GB2312"/>
                      <w:sz w:val="20"/>
                      <w:color w:val="000000"/>
                    </w:rPr>
                    <w:t>EDR服务器</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IBM 3850X5</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互联网</w:t>
                  </w:r>
                  <w:r>
                    <w:rPr>
                      <w:rFonts w:ascii="仿宋_GB2312" w:hAnsi="仿宋_GB2312" w:cs="仿宋_GB2312" w:eastAsia="仿宋_GB2312"/>
                      <w:sz w:val="20"/>
                      <w:color w:val="000000"/>
                    </w:rPr>
                    <w:t>200M专线</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电信</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二大队</w:t>
                  </w:r>
                  <w:r>
                    <w:rPr>
                      <w:rFonts w:ascii="仿宋_GB2312" w:hAnsi="仿宋_GB2312" w:cs="仿宋_GB2312" w:eastAsia="仿宋_GB2312"/>
                      <w:sz w:val="20"/>
                      <w:color w:val="000000"/>
                    </w:rPr>
                    <w:t>旅游</w:t>
                  </w:r>
                  <w:r>
                    <w:rPr>
                      <w:rFonts w:ascii="仿宋_GB2312" w:hAnsi="仿宋_GB2312" w:cs="仿宋_GB2312" w:eastAsia="仿宋_GB2312"/>
                      <w:sz w:val="20"/>
                      <w:color w:val="000000"/>
                    </w:rPr>
                    <w:t>中队机房</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外网交换机</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H3C mini</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外网交换机</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H3C</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内网交换机</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netlink</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内网路由器</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H3C</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交通专网专线</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电信</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二大队</w:t>
                  </w:r>
                  <w:r>
                    <w:rPr>
                      <w:rFonts w:ascii="仿宋_GB2312" w:hAnsi="仿宋_GB2312" w:cs="仿宋_GB2312" w:eastAsia="仿宋_GB2312"/>
                      <w:sz w:val="20"/>
                      <w:color w:val="000000"/>
                    </w:rPr>
                    <w:t>危</w:t>
                  </w:r>
                  <w:r>
                    <w:rPr>
                      <w:rFonts w:ascii="仿宋_GB2312" w:hAnsi="仿宋_GB2312" w:cs="仿宋_GB2312" w:eastAsia="仿宋_GB2312"/>
                      <w:sz w:val="20"/>
                      <w:color w:val="000000"/>
                    </w:rPr>
                    <w:t>运中队机房</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外网交换机</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H3C mini</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内网交换机</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netlink</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内网路由器</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H3C</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外网路由器</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ikuai</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交通专网专线</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电信</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二大队</w:t>
                  </w:r>
                  <w:r>
                    <w:rPr>
                      <w:rFonts w:ascii="仿宋_GB2312" w:hAnsi="仿宋_GB2312" w:cs="仿宋_GB2312" w:eastAsia="仿宋_GB2312"/>
                      <w:sz w:val="20"/>
                      <w:color w:val="000000"/>
                    </w:rPr>
                    <w:t>客</w:t>
                  </w:r>
                  <w:r>
                    <w:rPr>
                      <w:rFonts w:ascii="仿宋_GB2312" w:hAnsi="仿宋_GB2312" w:cs="仿宋_GB2312" w:eastAsia="仿宋_GB2312"/>
                      <w:sz w:val="20"/>
                      <w:color w:val="000000"/>
                    </w:rPr>
                    <w:t>运中队机房</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内网交换机</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netlink</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内网路由器</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H3C</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外网交换机</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H3C</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交通专网专线</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电信</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一大队外派中队</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外网路由器</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6</w:t>
                  </w:r>
                </w:p>
              </w:tc>
            </w:tr>
            <w:tr>
              <w:tc>
                <w:tcPr>
                  <w:tcW w:type="dxa" w:w="559"/>
                  <w:vMerge/>
                  <w:tcBorders>
                    <w:top w:val="none" w:color="000000" w:sz="4"/>
                    <w:left w:val="single" w:color="000000" w:sz="4"/>
                    <w:bottom w:val="non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外网交换机</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6</w:t>
                  </w:r>
                </w:p>
              </w:tc>
            </w:tr>
            <w:tr>
              <w:tc>
                <w:tcPr>
                  <w:tcW w:type="dxa" w:w="55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ind w:firstLine="200"/>
                    <w:jc w:val="center"/>
                  </w:pPr>
                  <w:r>
                    <w:rPr>
                      <w:rFonts w:ascii="仿宋_GB2312" w:hAnsi="仿宋_GB2312" w:cs="仿宋_GB2312" w:eastAsia="仿宋_GB2312"/>
                      <w:sz w:val="20"/>
                      <w:color w:val="000000"/>
                    </w:rPr>
                    <w:t>三大队机房</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外网路由器</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H3C</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tcBorders>
                    <w:top w:val="singl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外网防火墙</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ikuai</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tcBorders>
                    <w:top w:val="singl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rPr>
                    <w:t>外网交换机</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shd w:fill="FFFFFF" w:val="clear"/>
                    </w:rPr>
                    <w:t>H3C</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rPr>
                    <w:t>2</w:t>
                  </w:r>
                </w:p>
              </w:tc>
            </w:tr>
            <w:tr>
              <w:tc>
                <w:tcPr>
                  <w:tcW w:type="dxa" w:w="559"/>
                  <w:vMerge/>
                  <w:tcBorders>
                    <w:top w:val="singl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互联网专线</w:t>
                  </w:r>
                  <w:r>
                    <w:rPr>
                      <w:rFonts w:ascii="仿宋_GB2312" w:hAnsi="仿宋_GB2312" w:cs="仿宋_GB2312" w:eastAsia="仿宋_GB2312"/>
                      <w:sz w:val="20"/>
                      <w:color w:val="000000"/>
                    </w:rPr>
                    <w:t>200M</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电信</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ind w:firstLine="200"/>
                    <w:jc w:val="center"/>
                  </w:pPr>
                  <w:r>
                    <w:rPr>
                      <w:rFonts w:ascii="仿宋_GB2312" w:hAnsi="仿宋_GB2312" w:cs="仿宋_GB2312" w:eastAsia="仿宋_GB2312"/>
                      <w:sz w:val="20"/>
                      <w:color w:val="000000"/>
                    </w:rPr>
                    <w:t>四大队机房</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外网防火墙</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华</w:t>
                  </w:r>
                  <w:r>
                    <w:rPr>
                      <w:rFonts w:ascii="仿宋_GB2312" w:hAnsi="仿宋_GB2312" w:cs="仿宋_GB2312" w:eastAsia="仿宋_GB2312"/>
                      <w:sz w:val="20"/>
                      <w:color w:val="000000"/>
                    </w:rPr>
                    <w:t>为</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外网行为管理</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深</w:t>
                  </w:r>
                  <w:r>
                    <w:rPr>
                      <w:rFonts w:ascii="仿宋_GB2312" w:hAnsi="仿宋_GB2312" w:cs="仿宋_GB2312" w:eastAsia="仿宋_GB2312"/>
                      <w:sz w:val="20"/>
                      <w:color w:val="000000"/>
                    </w:rPr>
                    <w:t>信服</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外网交换机</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S5700</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二楼接入交换机</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H3C S3100</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三楼接入交换机</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H3C S3100</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四楼接入交换机</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H3C S3100</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五</w:t>
                  </w:r>
                  <w:r>
                    <w:rPr>
                      <w:rFonts w:ascii="仿宋_GB2312" w:hAnsi="仿宋_GB2312" w:cs="仿宋_GB2312" w:eastAsia="仿宋_GB2312"/>
                      <w:sz w:val="20"/>
                      <w:color w:val="000000"/>
                    </w:rPr>
                    <w:t>楼接入交换机</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H3C S3100</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六楼接入交换机</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H3C S3100</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内网路由器</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H3C MSR2600</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内网交换机</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H3C S5500</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二楼内网交换机</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H3C S3100</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四楼内网交换机</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H3C S3100</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六楼内网交换机</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H3C S3100</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华</w:t>
                  </w:r>
                  <w:r>
                    <w:rPr>
                      <w:rFonts w:ascii="仿宋_GB2312" w:hAnsi="仿宋_GB2312" w:cs="仿宋_GB2312" w:eastAsia="仿宋_GB2312"/>
                      <w:sz w:val="20"/>
                      <w:color w:val="000000"/>
                    </w:rPr>
                    <w:t>为</w:t>
                  </w:r>
                  <w:r>
                    <w:rPr>
                      <w:rFonts w:ascii="仿宋_GB2312" w:hAnsi="仿宋_GB2312" w:cs="仿宋_GB2312" w:eastAsia="仿宋_GB2312"/>
                      <w:sz w:val="20"/>
                      <w:color w:val="000000"/>
                    </w:rPr>
                    <w:t>视频</w:t>
                  </w:r>
                  <w:r>
                    <w:rPr>
                      <w:rFonts w:ascii="仿宋_GB2312" w:hAnsi="仿宋_GB2312" w:cs="仿宋_GB2312" w:eastAsia="仿宋_GB2312"/>
                      <w:sz w:val="20"/>
                      <w:color w:val="000000"/>
                    </w:rPr>
                    <w:t>服务器</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华</w:t>
                  </w:r>
                  <w:r>
                    <w:rPr>
                      <w:rFonts w:ascii="仿宋_GB2312" w:hAnsi="仿宋_GB2312" w:cs="仿宋_GB2312" w:eastAsia="仿宋_GB2312"/>
                      <w:sz w:val="20"/>
                      <w:color w:val="000000"/>
                    </w:rPr>
                    <w:t>为</w:t>
                  </w:r>
                  <w:r>
                    <w:rPr>
                      <w:rFonts w:ascii="仿宋_GB2312" w:hAnsi="仿宋_GB2312" w:cs="仿宋_GB2312" w:eastAsia="仿宋_GB2312"/>
                      <w:sz w:val="20"/>
                      <w:color w:val="000000"/>
                    </w:rPr>
                    <w:t>RH5885V3</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华</w:t>
                  </w:r>
                  <w:r>
                    <w:rPr>
                      <w:rFonts w:ascii="仿宋_GB2312" w:hAnsi="仿宋_GB2312" w:cs="仿宋_GB2312" w:eastAsia="仿宋_GB2312"/>
                      <w:sz w:val="20"/>
                      <w:color w:val="000000"/>
                    </w:rPr>
                    <w:t>为</w:t>
                  </w:r>
                  <w:r>
                    <w:rPr>
                      <w:rFonts w:ascii="仿宋_GB2312" w:hAnsi="仿宋_GB2312" w:cs="仿宋_GB2312" w:eastAsia="仿宋_GB2312"/>
                      <w:sz w:val="20"/>
                      <w:color w:val="000000"/>
                    </w:rPr>
                    <w:t>视频</w:t>
                  </w:r>
                  <w:r>
                    <w:rPr>
                      <w:rFonts w:ascii="仿宋_GB2312" w:hAnsi="仿宋_GB2312" w:cs="仿宋_GB2312" w:eastAsia="仿宋_GB2312"/>
                      <w:sz w:val="20"/>
                      <w:color w:val="000000"/>
                    </w:rPr>
                    <w:t>服务器</w:t>
                  </w:r>
                  <w:r>
                    <w:rPr>
                      <w:rFonts w:ascii="仿宋_GB2312" w:hAnsi="仿宋_GB2312" w:cs="仿宋_GB2312" w:eastAsia="仿宋_GB2312"/>
                      <w:sz w:val="19"/>
                    </w:rPr>
                    <w:t xml:space="preserve">   </w:t>
                  </w:r>
                  <w:r>
                    <w:rPr>
                      <w:rFonts w:ascii="仿宋_GB2312" w:hAnsi="仿宋_GB2312" w:cs="仿宋_GB2312" w:eastAsia="仿宋_GB2312"/>
                      <w:sz w:val="20"/>
                      <w:color w:val="000000"/>
                    </w:rPr>
                    <w:t>（</w:t>
                  </w:r>
                  <w:r>
                    <w:rPr>
                      <w:rFonts w:ascii="仿宋_GB2312" w:hAnsi="仿宋_GB2312" w:cs="仿宋_GB2312" w:eastAsia="仿宋_GB2312"/>
                      <w:sz w:val="20"/>
                      <w:color w:val="000000"/>
                    </w:rPr>
                    <w:t>备用</w:t>
                  </w:r>
                  <w:r>
                    <w:rPr>
                      <w:rFonts w:ascii="仿宋_GB2312" w:hAnsi="仿宋_GB2312" w:cs="仿宋_GB2312" w:eastAsia="仿宋_GB2312"/>
                      <w:sz w:val="20"/>
                      <w:color w:val="000000"/>
                    </w:rPr>
                    <w:t>）</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华</w:t>
                  </w:r>
                  <w:r>
                    <w:rPr>
                      <w:rFonts w:ascii="仿宋_GB2312" w:hAnsi="仿宋_GB2312" w:cs="仿宋_GB2312" w:eastAsia="仿宋_GB2312"/>
                      <w:sz w:val="20"/>
                      <w:color w:val="000000"/>
                    </w:rPr>
                    <w:t>为</w:t>
                  </w:r>
                  <w:r>
                    <w:rPr>
                      <w:rFonts w:ascii="仿宋_GB2312" w:hAnsi="仿宋_GB2312" w:cs="仿宋_GB2312" w:eastAsia="仿宋_GB2312"/>
                      <w:sz w:val="20"/>
                      <w:color w:val="000000"/>
                    </w:rPr>
                    <w:t>RH5885V3</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外网</w:t>
                  </w:r>
                  <w:r>
                    <w:rPr>
                      <w:rFonts w:ascii="仿宋_GB2312" w:hAnsi="仿宋_GB2312" w:cs="仿宋_GB2312" w:eastAsia="仿宋_GB2312"/>
                      <w:sz w:val="20"/>
                      <w:color w:val="000000"/>
                    </w:rPr>
                    <w:t>50M专线</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电信</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1</w:t>
                  </w:r>
                </w:p>
              </w:tc>
            </w:tr>
            <w:tr>
              <w:tc>
                <w:tcPr>
                  <w:tcW w:type="dxa" w:w="5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派出大</w:t>
                  </w:r>
                  <w:r>
                    <w:rPr>
                      <w:rFonts w:ascii="仿宋_GB2312" w:hAnsi="仿宋_GB2312" w:cs="仿宋_GB2312" w:eastAsia="仿宋_GB2312"/>
                      <w:sz w:val="20"/>
                      <w:color w:val="000000"/>
                    </w:rPr>
                    <w:t>队</w:t>
                  </w:r>
                  <w:r>
                    <w:rPr>
                      <w:rFonts w:ascii="仿宋_GB2312" w:hAnsi="仿宋_GB2312" w:cs="仿宋_GB2312" w:eastAsia="仿宋_GB2312"/>
                      <w:sz w:val="19"/>
                    </w:rPr>
                    <w:t xml:space="preserve">   </w:t>
                  </w:r>
                  <w:r>
                    <w:rPr>
                      <w:rFonts w:ascii="仿宋_GB2312" w:hAnsi="仿宋_GB2312" w:cs="仿宋_GB2312" w:eastAsia="仿宋_GB2312"/>
                      <w:sz w:val="20"/>
                      <w:color w:val="000000"/>
                    </w:rPr>
                    <w:t>专网设备</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内网交换机</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netlink</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2</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内网路由器</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H3C</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2</w:t>
                  </w:r>
                </w:p>
              </w:tc>
            </w:tr>
            <w:tr>
              <w:tc>
                <w:tcPr>
                  <w:tcW w:type="dxa" w:w="559"/>
                  <w:vMerge/>
                  <w:tcBorders>
                    <w:top w:val="none" w:color="000000" w:sz="4"/>
                    <w:left w:val="singl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交通专网</w:t>
                  </w:r>
                  <w:r>
                    <w:rPr>
                      <w:rFonts w:ascii="仿宋_GB2312" w:hAnsi="仿宋_GB2312" w:cs="仿宋_GB2312" w:eastAsia="仿宋_GB2312"/>
                      <w:sz w:val="20"/>
                      <w:color w:val="000000"/>
                    </w:rPr>
                    <w:t>2M专线</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电信</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0"/>
                      <w:color w:val="000000"/>
                    </w:rPr>
                    <w:t>2</w:t>
                  </w:r>
                </w:p>
              </w:tc>
            </w:tr>
          </w:tbl>
          <w:p>
            <w:pPr>
              <w:pStyle w:val="null3"/>
              <w:ind w:left="570"/>
              <w:jc w:val="both"/>
              <w:outlineLvl w:val="1"/>
            </w:pPr>
            <w:r>
              <w:rPr>
                <w:rFonts w:ascii="仿宋_GB2312" w:hAnsi="仿宋_GB2312" w:cs="仿宋_GB2312" w:eastAsia="仿宋_GB2312"/>
                <w:sz w:val="20"/>
                <w:b/>
                <w:color w:val="000000"/>
              </w:rPr>
              <w:t>（三）运维服务内容</w:t>
            </w:r>
          </w:p>
          <w:p>
            <w:pPr>
              <w:pStyle w:val="null3"/>
              <w:ind w:firstLine="400"/>
              <w:jc w:val="both"/>
            </w:pPr>
            <w:r>
              <w:rPr>
                <w:rFonts w:ascii="仿宋_GB2312" w:hAnsi="仿宋_GB2312" w:cs="仿宋_GB2312" w:eastAsia="仿宋_GB2312"/>
                <w:sz w:val="20"/>
                <w:color w:val="000000"/>
              </w:rPr>
              <w:t>1.设备管理：建立完善的设备管理制度，确保机房内所有硬件设备（如服务器、存储设备、网络设备等）的配置和管理符合相关标准和规范。</w:t>
            </w:r>
          </w:p>
          <w:p>
            <w:pPr>
              <w:pStyle w:val="null3"/>
              <w:ind w:firstLine="400"/>
              <w:jc w:val="both"/>
            </w:pPr>
            <w:r>
              <w:rPr>
                <w:rFonts w:ascii="仿宋_GB2312" w:hAnsi="仿宋_GB2312" w:cs="仿宋_GB2312" w:eastAsia="仿宋_GB2312"/>
                <w:sz w:val="20"/>
                <w:color w:val="000000"/>
              </w:rPr>
              <w:t>2.确保网络稳定：保障机房设备网络正常、畅通，及时发现并处理网络异常情况。</w:t>
            </w:r>
          </w:p>
          <w:p>
            <w:pPr>
              <w:pStyle w:val="null3"/>
              <w:ind w:firstLine="400"/>
              <w:jc w:val="both"/>
            </w:pPr>
            <w:r>
              <w:rPr>
                <w:rFonts w:ascii="仿宋_GB2312" w:hAnsi="仿宋_GB2312" w:cs="仿宋_GB2312" w:eastAsia="仿宋_GB2312"/>
                <w:sz w:val="20"/>
                <w:color w:val="000000"/>
              </w:rPr>
              <w:t>3.设备巡检与维护：定期对机房硬件设备进行巡检，监控设备运行状态，确保设备的稳定性和可靠性。</w:t>
            </w:r>
          </w:p>
          <w:p>
            <w:pPr>
              <w:pStyle w:val="null3"/>
              <w:ind w:firstLine="400"/>
              <w:jc w:val="both"/>
            </w:pPr>
            <w:r>
              <w:rPr>
                <w:rFonts w:ascii="仿宋_GB2312" w:hAnsi="仿宋_GB2312" w:cs="仿宋_GB2312" w:eastAsia="仿宋_GB2312"/>
                <w:sz w:val="20"/>
                <w:color w:val="000000"/>
              </w:rPr>
              <w:t>4.故障处理与修复：对出现的硬件故障进行快速响应和处理，确保设备能够尽快恢复正常运行。</w:t>
            </w:r>
          </w:p>
          <w:p>
            <w:pPr>
              <w:pStyle w:val="null3"/>
              <w:ind w:firstLine="400"/>
              <w:jc w:val="both"/>
            </w:pPr>
            <w:r>
              <w:rPr>
                <w:rFonts w:ascii="仿宋_GB2312" w:hAnsi="仿宋_GB2312" w:cs="仿宋_GB2312" w:eastAsia="仿宋_GB2312"/>
                <w:sz w:val="20"/>
                <w:color w:val="000000"/>
              </w:rPr>
              <w:t>5.数据备份与恢复：建立数据备份和恢复机制，确保重要数据的可靠性和安全性。</w:t>
            </w:r>
          </w:p>
          <w:p>
            <w:pPr>
              <w:pStyle w:val="null3"/>
              <w:ind w:firstLine="400"/>
              <w:jc w:val="both"/>
            </w:pPr>
            <w:r>
              <w:rPr>
                <w:rFonts w:ascii="仿宋_GB2312" w:hAnsi="仿宋_GB2312" w:cs="仿宋_GB2312" w:eastAsia="仿宋_GB2312"/>
                <w:sz w:val="20"/>
                <w:color w:val="000000"/>
              </w:rPr>
              <w:t>6.文档管理：建立完善的文档管理制度，记录硬件设备的配置信息、维护记录等。</w:t>
            </w:r>
          </w:p>
          <w:p>
            <w:pPr>
              <w:pStyle w:val="null3"/>
              <w:ind w:firstLine="376"/>
              <w:jc w:val="both"/>
            </w:pPr>
            <w:r>
              <w:rPr>
                <w:rFonts w:ascii="仿宋_GB2312" w:hAnsi="仿宋_GB2312" w:cs="仿宋_GB2312" w:eastAsia="仿宋_GB2312"/>
                <w:sz w:val="20"/>
                <w:color w:val="000000"/>
              </w:rPr>
              <w:t>7.安全防护：加强机房硬件设备的安全防护，防止未经授权的访问和操作。</w:t>
            </w:r>
          </w:p>
          <w:p>
            <w:pPr>
              <w:pStyle w:val="null3"/>
              <w:jc w:val="both"/>
              <w:outlineLvl w:val="0"/>
            </w:pPr>
            <w:r>
              <w:rPr>
                <w:rFonts w:ascii="仿宋_GB2312" w:hAnsi="仿宋_GB2312" w:cs="仿宋_GB2312" w:eastAsia="仿宋_GB2312"/>
                <w:sz w:val="20"/>
                <w:b/>
                <w:color w:val="000000"/>
              </w:rPr>
              <w:t>二、应急处置与预防措施</w:t>
            </w:r>
          </w:p>
          <w:p>
            <w:pPr>
              <w:pStyle w:val="null3"/>
              <w:ind w:firstLine="400"/>
              <w:jc w:val="both"/>
            </w:pPr>
            <w:r>
              <w:rPr>
                <w:rFonts w:ascii="仿宋_GB2312" w:hAnsi="仿宋_GB2312" w:cs="仿宋_GB2312" w:eastAsia="仿宋_GB2312"/>
                <w:sz w:val="20"/>
                <w:color w:val="000000"/>
              </w:rPr>
              <w:t>1.硬件损坏故障需要在4小时内告知相关负责人，并根据使用情况，在48小时内完成硬件更换。</w:t>
            </w:r>
          </w:p>
          <w:p>
            <w:pPr>
              <w:pStyle w:val="null3"/>
              <w:ind w:firstLine="400"/>
              <w:jc w:val="both"/>
            </w:pPr>
            <w:r>
              <w:rPr>
                <w:rFonts w:ascii="仿宋_GB2312" w:hAnsi="仿宋_GB2312" w:cs="仿宋_GB2312" w:eastAsia="仿宋_GB2312"/>
                <w:sz w:val="20"/>
                <w:color w:val="000000"/>
              </w:rPr>
              <w:t>2.定期巡检设备策略配置情况，对于不合理策略配置，遵循策略最小化原则及时优化策略。</w:t>
            </w:r>
          </w:p>
          <w:p>
            <w:pPr>
              <w:pStyle w:val="null3"/>
              <w:ind w:firstLine="400"/>
              <w:jc w:val="both"/>
            </w:pPr>
            <w:r>
              <w:rPr>
                <w:rFonts w:ascii="仿宋_GB2312" w:hAnsi="仿宋_GB2312" w:cs="仿宋_GB2312" w:eastAsia="仿宋_GB2312"/>
                <w:sz w:val="20"/>
                <w:color w:val="000000"/>
              </w:rPr>
              <w:t>3.负责保障机房服务器正常运行，遵循用户的安全保障管理要求，对故障进行分析处理及建立完善预警机制。</w:t>
            </w:r>
          </w:p>
          <w:p>
            <w:pPr>
              <w:pStyle w:val="null3"/>
              <w:ind w:firstLine="400"/>
              <w:jc w:val="both"/>
            </w:pPr>
            <w:r>
              <w:rPr>
                <w:rFonts w:ascii="仿宋_GB2312" w:hAnsi="仿宋_GB2312" w:cs="仿宋_GB2312" w:eastAsia="仿宋_GB2312"/>
                <w:sz w:val="20"/>
                <w:color w:val="000000"/>
              </w:rPr>
              <w:t>4.重大活动或节假日期间，安排专人值班值守，做好应急准备工作。</w:t>
            </w:r>
          </w:p>
          <w:p>
            <w:pPr>
              <w:pStyle w:val="null3"/>
              <w:jc w:val="both"/>
              <w:outlineLvl w:val="0"/>
            </w:pPr>
            <w:r>
              <w:rPr>
                <w:rFonts w:ascii="仿宋_GB2312" w:hAnsi="仿宋_GB2312" w:cs="仿宋_GB2312" w:eastAsia="仿宋_GB2312"/>
                <w:sz w:val="20"/>
                <w:b/>
                <w:color w:val="000000"/>
              </w:rPr>
              <w:t>三、</w:t>
            </w:r>
            <w:r>
              <w:rPr>
                <w:rFonts w:ascii="仿宋_GB2312" w:hAnsi="仿宋_GB2312" w:cs="仿宋_GB2312" w:eastAsia="仿宋_GB2312"/>
                <w:sz w:val="20"/>
                <w:b/>
                <w:color w:val="000000"/>
              </w:rPr>
              <w:t>服务要求</w:t>
            </w:r>
          </w:p>
          <w:p>
            <w:pPr>
              <w:pStyle w:val="null3"/>
              <w:ind w:firstLine="400"/>
              <w:jc w:val="both"/>
            </w:pPr>
            <w:r>
              <w:rPr>
                <w:rFonts w:ascii="仿宋_GB2312" w:hAnsi="仿宋_GB2312" w:cs="仿宋_GB2312" w:eastAsia="仿宋_GB2312"/>
                <w:sz w:val="20"/>
                <w:color w:val="000000"/>
              </w:rPr>
              <w:t>1.提供3人或以上运维团队，不低于2人在本单位现场办公。</w:t>
            </w:r>
            <w:r>
              <w:rPr>
                <w:rFonts w:ascii="仿宋_GB2312" w:hAnsi="仿宋_GB2312" w:cs="仿宋_GB2312" w:eastAsia="仿宋_GB2312"/>
                <w:sz w:val="20"/>
                <w:color w:val="000000"/>
              </w:rPr>
              <w:t>保证维保范围内的机房设备全年</w:t>
            </w:r>
            <w:r>
              <w:rPr>
                <w:rFonts w:ascii="仿宋_GB2312" w:hAnsi="仿宋_GB2312" w:cs="仿宋_GB2312" w:eastAsia="仿宋_GB2312"/>
                <w:sz w:val="20"/>
                <w:color w:val="000000"/>
              </w:rPr>
              <w:t>365天7*24小时安全、稳定、高效运行。对于维保范围内系统出现的任何故障，接到故障通知后，保证在2小时响应，8小时内恢复到系统原有正常运行状态，及时处理和机房硬件设备运行维护相关的事务。</w:t>
            </w:r>
          </w:p>
          <w:p>
            <w:pPr>
              <w:pStyle w:val="null3"/>
              <w:ind w:firstLine="400"/>
              <w:jc w:val="both"/>
            </w:pPr>
            <w:r>
              <w:rPr>
                <w:rFonts w:ascii="仿宋_GB2312" w:hAnsi="仿宋_GB2312" w:cs="仿宋_GB2312" w:eastAsia="仿宋_GB2312"/>
                <w:sz w:val="20"/>
                <w:color w:val="000000"/>
              </w:rPr>
              <w:t>2.每季度完成一次维保设备巡检，</w:t>
            </w:r>
            <w:r>
              <w:rPr>
                <w:rFonts w:ascii="仿宋_GB2312" w:hAnsi="仿宋_GB2312" w:cs="仿宋_GB2312" w:eastAsia="仿宋_GB2312"/>
                <w:sz w:val="20"/>
                <w:color w:val="000000"/>
              </w:rPr>
              <w:t>每次巡检均要求出具巡检报告。</w:t>
            </w:r>
            <w:r>
              <w:rPr>
                <w:rFonts w:ascii="仿宋_GB2312" w:hAnsi="仿宋_GB2312" w:cs="仿宋_GB2312" w:eastAsia="仿宋_GB2312"/>
                <w:sz w:val="20"/>
                <w:color w:val="000000"/>
              </w:rPr>
              <w:t>维护期间制定相应的服</w:t>
            </w:r>
            <w:r>
              <w:rPr>
                <w:rFonts w:ascii="仿宋_GB2312" w:hAnsi="仿宋_GB2312" w:cs="仿宋_GB2312" w:eastAsia="仿宋_GB2312"/>
                <w:sz w:val="20"/>
                <w:color w:val="000000"/>
              </w:rPr>
              <w:t>务计划及主要服务内容，包括：巡检内容、巡检次数、巡检报告等，计划执行时应提前三天进行联系和预约，确保维护工作顺利开展。待项目服务期满后，需提供年度巡检报告。</w:t>
            </w:r>
          </w:p>
          <w:p>
            <w:pPr>
              <w:pStyle w:val="null3"/>
              <w:ind w:firstLine="400"/>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运维单位需建立完整的保密制度，制定相应保密措施</w:t>
            </w:r>
            <w:r>
              <w:rPr>
                <w:rFonts w:ascii="仿宋_GB2312" w:hAnsi="仿宋_GB2312" w:cs="仿宋_GB2312" w:eastAsia="仿宋_GB2312"/>
                <w:sz w:val="20"/>
                <w:color w:val="000000"/>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根据采购人、磋商文件要求及合同约定执行。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2025年8月21日至2026年8月20日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成交供应商提交项目所有的成果报告后，由采购人和成交供应商共同对项目进行整体验收。其内容包括是否按照采购人要求进行服务、是否在规定时间内服务完毕。 其他事项：1、验收合格后，填写政府采购项目验收单作为对本服务的最终认可。 2、服务商向采购人提供服务过程中的所有资料，以便采购人日后管理。 3、验收依据 3.1磋商文件、磋商响应文件、澄清表（函）； 3.2本合同及附件文本； 3.3国家相应的标准、规范。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2026年完成项目验收及绩效评价后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按《中华人民共和国政府采购法》、《中华人民共和国民法典》中的相关条款执行。 未按合同要求提供产品质量不能满足技术要求，采购人有权终止合同，并对供方违约行为进行追究，同时按《中华人民共和国政府采购法》的有关规定进行处罚。 未按合同或磋商文件要求的或者质量不能满足采购人要求的，采购单位有权终止合同，甚至对供应商违约行为进行追究。 供应商的磋商响应文件为签订正式书面合同书不可分割的部分，磋商响应应履行相应的责任。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根据采购文件要求及合同约定执行；事业单位参与磋商时，可不提供财务状况报告、社会保障资金和税收缴纳证明；依法免税或不需要缴纳社会保障资金的供应商，应提供相应证明文件，证明其依法免税或不需要缴纳社会保障资金；自然人（仅限中国公民）参与投标时，只须提供身份证复印件；3.4.2本项目服务期限为运维周期；3.4.3（响应文件格式-标的清单）本项目服务范围：信息系统硬件设备延续运维项目；服务要求：符合磋商文件有关技术、商务要求；服务标准：符合国家和省、市有关行业标准及采购人的有关规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提供2025年1月至今已缴纳的至少一个月的纳税证明，依法免税的单位应提供相关证明材料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具备履行合同所必须的设备和专业技术能力的书面声明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被授权人身份证(法定代表人参加开标时,只需提供法定代表人身份证；被授权人参加开标时，须提供开标前三个月的基本养老保险参保缴费证明，该证明须体现“现缴费单位名称”及“验证二维码”，开标现场进行验证</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参与的供应商（联合体）为符合政策要求的中小企业，须提供中小企业声明函或残疾人福利性单位声明函或监狱企业的证明文件。</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报价唯一，且没有低于成本价或高于采购预算的</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磋商响应文件响应性</w:t>
            </w:r>
          </w:p>
        </w:tc>
        <w:tc>
          <w:tcPr>
            <w:tcW w:type="dxa" w:w="3322"/>
          </w:tcPr>
          <w:p>
            <w:pPr>
              <w:pStyle w:val="null3"/>
            </w:pPr>
            <w:r>
              <w:rPr>
                <w:rFonts w:ascii="仿宋_GB2312" w:hAnsi="仿宋_GB2312" w:cs="仿宋_GB2312" w:eastAsia="仿宋_GB2312"/>
              </w:rPr>
              <w:t>服务期限响应磋商文件要求</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响应文件封面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评审得分相同的，按照最后报价由低到高的顺序推荐。评审得分且最后报价相同的，按照技术指标优劣顺序推荐。评审得分且最后报价且技术指标得分均相同的，由采购人采取随机抽取的方式确定成交供应商。</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运维方案</w:t>
            </w:r>
          </w:p>
        </w:tc>
        <w:tc>
          <w:tcPr>
            <w:tcW w:type="dxa" w:w="2492"/>
          </w:tcPr>
          <w:p>
            <w:pPr>
              <w:pStyle w:val="null3"/>
            </w:pPr>
            <w:r>
              <w:rPr>
                <w:rFonts w:ascii="仿宋_GB2312" w:hAnsi="仿宋_GB2312" w:cs="仿宋_GB2312" w:eastAsia="仿宋_GB2312"/>
              </w:rPr>
              <w:t>评审标准细化内容： 包括但不限于 ①对本项目运维工作目标、规模、内容的了解；②设备管理方案；③确保网络稳定方案；④数据备份与恢复方案；⑤故障处理与修复方案；⑥文档管理方案；⑦安全防护方案。 评审标准： 1、完整性：内容详细全面，满足本项目实施要求； 2、真实性：切合本项目实际情况，方案贴合实际和本次采购要求； 3、针对性：对项目要有足够的针对性，紧扣项目实际情况。 评审标准量化内容： （1）各部分内容全面详细、阐述条理清晰详尽、符合本项目采购需求得21分； （2）评审标准细化内容每缺少一项扣3分；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巡检服务方案</w:t>
            </w:r>
          </w:p>
        </w:tc>
        <w:tc>
          <w:tcPr>
            <w:tcW w:type="dxa" w:w="2492"/>
          </w:tcPr>
          <w:p>
            <w:pPr>
              <w:pStyle w:val="null3"/>
            </w:pPr>
            <w:r>
              <w:rPr>
                <w:rFonts w:ascii="仿宋_GB2312" w:hAnsi="仿宋_GB2312" w:cs="仿宋_GB2312" w:eastAsia="仿宋_GB2312"/>
              </w:rPr>
              <w:t>评审标准细化内容： 包括但不限于 ①针对不同系统、设备的巡检内容、巡检频次、巡检时间等巡检方案；②季度、年度巡检报告方案；③巡检制度。 评审标准： 1、完整性：内容详细全面，满足本项目实施要求； 2、真实性：切合本项目实际情况，方案贴合实际和本次采购要求； 3、针对性：对项目要有足够的针对性，紧扣项目实际情况。 评审标准量化内容： （1）各部分内容全面详细、阐述条理清晰详尽、符合本项目采购需求得9分； （2）评审标准细化内容每缺少一项扣3分；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项目重难点分析及解决措施</w:t>
            </w:r>
          </w:p>
        </w:tc>
        <w:tc>
          <w:tcPr>
            <w:tcW w:type="dxa" w:w="2492"/>
          </w:tcPr>
          <w:p>
            <w:pPr>
              <w:pStyle w:val="null3"/>
            </w:pPr>
            <w:r>
              <w:rPr>
                <w:rFonts w:ascii="仿宋_GB2312" w:hAnsi="仿宋_GB2312" w:cs="仿宋_GB2312" w:eastAsia="仿宋_GB2312"/>
              </w:rPr>
              <w:t>评审标准细化内容： 包括但不限于①针对本项目的重难点分析；②解决措施。 评审标准： 1、完整性：内容详细全面，满足本项目实施要求； 2、真实性：切合本项目实际情况，分析及措施贴合实际和本次采购要求； 3、针对性：对项目要有足够的针对性，紧扣项目实际情况。 评审标准量化内容： （1）各部分内容全面详细、阐述条理清晰详尽、符合本项目采购需求得6分； （2）评审标准细化内容每缺少一项扣3分；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安全保障方案及保障措施</w:t>
            </w:r>
          </w:p>
        </w:tc>
        <w:tc>
          <w:tcPr>
            <w:tcW w:type="dxa" w:w="2492"/>
          </w:tcPr>
          <w:p>
            <w:pPr>
              <w:pStyle w:val="null3"/>
            </w:pPr>
            <w:r>
              <w:rPr>
                <w:rFonts w:ascii="仿宋_GB2312" w:hAnsi="仿宋_GB2312" w:cs="仿宋_GB2312" w:eastAsia="仿宋_GB2312"/>
              </w:rPr>
              <w:t>评审标准细化内容： 包括但不限于①系统安全保障方案；②项目实施过程中的保障措施。 评审标准： 1、完整性：内容详细全面，满足本项目实施要求； 2、真实性：切合本项目实际情况，方案及措施贴合实际和本次采购要求； 3、针对性：对项目要有足够的针对性，紧扣项目实际情况。 评审标准量化内容： （1）各部分内容全面详细、阐述条理清晰详尽、符合本项目采购需求得6分； （2）评审标准细化内容每缺少一项扣3分；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评审标准细化内容： 包括但不限于①突发事件响应时间；②应急响应措施。 评审标准： 1、完整性：内容详细全面，满足本项目实施要求； 2、真实性：切合本项目实际情况，方案贴合实际和本次采购要求； 3、针对性：对项目要有足够的针对性，紧扣项目实际情况。 评审标准量化内容： （1）评审标准细化内容全面详细、阐述条理清晰详尽、符合本项目采购需求得6分； （2）评审标准细化内容每缺少一项内容扣3分；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评审标准细化内容： 包括但不限于①保密制度；②保密措施；③保密承诺。 评审标准： 1、完整性：内容详细全面，满足本项目实施要求； 2、真实性：切合本项目实际情况，方案贴合实际和本次采购要求； 3、针对性：对项目要有足够的针对性，紧扣项目实际情况。 评审标准量化内容： （1）评审标准细化内容全面详细、阐述条理清晰详尽、符合本项目采购需求得6分； （2）评审标准细化内容每缺少一项内容扣2分；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评审标准细化内容： 包括但不限于 ①售后服务体系；②售后服务方案、计划和措施；③售后服务承诺。 评审标准： 1、完整性：内容详细全面，满足本项目实施要求； 2、真实性：切合本项目实际情况，方案贴合实际和本次采购要求； 3、针对性：对项目要有足够的针对性，紧扣项目实际情况。 评审标准量化内容： （1）评审标准细化内容全面详细、阐述条理清晰详尽、符合本项目采购需求得9分； （2）评审标准细化内容每缺少一项内容扣3分；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人员配备管理方案</w:t>
            </w:r>
          </w:p>
        </w:tc>
        <w:tc>
          <w:tcPr>
            <w:tcW w:type="dxa" w:w="2492"/>
          </w:tcPr>
          <w:p>
            <w:pPr>
              <w:pStyle w:val="null3"/>
            </w:pPr>
            <w:r>
              <w:rPr>
                <w:rFonts w:ascii="仿宋_GB2312" w:hAnsi="仿宋_GB2312" w:cs="仿宋_GB2312" w:eastAsia="仿宋_GB2312"/>
              </w:rPr>
              <w:t>评审标准细化内容： 包括但不限于 ①项目组织构架；②岗位分工及责任制度；③人员管理制度。 评审标准： 1、完整性：内容详细全面，满足本项目实施要求； 2、真实性：切合本项目实际情况，方案贴合实际和本次采购要求； 3、针对性：对项目要有足够的针对性，紧扣项目实际情况。 评审标准量化内容： （1）评审标准细化内容全面详细、阐述条理清晰详尽、符合本项目采购需求得9分； （2）评审标准细化内容每缺少一项内容扣3分；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人员资质证明</w:t>
            </w:r>
          </w:p>
        </w:tc>
        <w:tc>
          <w:tcPr>
            <w:tcW w:type="dxa" w:w="2492"/>
          </w:tcPr>
          <w:p>
            <w:pPr>
              <w:pStyle w:val="null3"/>
            </w:pPr>
            <w:r>
              <w:rPr>
                <w:rFonts w:ascii="仿宋_GB2312" w:hAnsi="仿宋_GB2312" w:cs="仿宋_GB2312" w:eastAsia="仿宋_GB2312"/>
              </w:rPr>
              <w:t>评审标准细化内容： 包括但不限于 ①信息系统项目管理师资质证书；②中级及以上计算机技术与软件专业技术资格证书（信息系统管理工程师或网络工程师）。 评审标准量化内容： （1）项目经理具有信息系统项目管理师资质证书，计2分，未提供不计分。 （2）项目组成员（除项目经理外）每提供1个有效的中级及以上计算机技术与软件专业技术资格证书（信息系统管理工程师或网络工程师）得1分，最多得2分。 备注：1、未提供项目人员身份证（复印件）和2025年1月至今任意时段本单位社保缴纳证明，此项不得分；2、以供应商提供的项目人员资质证书证明材料复印件（加盖供应商公章）为准。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评审标准细化量化内容： 供应商提供2022年7月至今类似项目业绩合同。每提供一项业绩得3分，最高得9分。 备注：以响应文件中提供的合同复印件为准，合同复印件须包含合同名称、签订双方名称、签订时间、主要服务内容、双方盖章页等关键信息页。关键信息页内容不全或存在其他不符合要求的情形不得分。如果合同中涉及国家秘密、商业秘密，可以不用提供合同名称、签订双方名称等信息，但要提供项目涉密的证明材料。</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响应报价得分：满足采购文件要求且响应报价最低的响应报价为评标基准价，其价格分为满分。价格分按照下列公式计算：响应报价得分=（评标基准价/响应报价）×15；评分的取值按四舍五入法，保留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其他附件.docx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详见附件：合同附件.docx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